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148" w:rsidRPr="00FC3203" w:rsidRDefault="00263148" w:rsidP="00263148">
      <w:pPr>
        <w:pStyle w:val="NoSpacing"/>
        <w:jc w:val="both"/>
        <w:rPr>
          <w:b/>
          <w:sz w:val="24"/>
        </w:rPr>
      </w:pPr>
      <w:bookmarkStart w:id="0" w:name="_GoBack"/>
      <w:bookmarkEnd w:id="0"/>
      <w:r w:rsidRPr="00FC3203">
        <w:rPr>
          <w:b/>
          <w:sz w:val="32"/>
        </w:rPr>
        <w:t>Cardiopulmonary Exercise Testing in Patients with</w:t>
      </w:r>
      <w:r>
        <w:rPr>
          <w:b/>
          <w:sz w:val="32"/>
        </w:rPr>
        <w:t xml:space="preserve"> Repaired</w:t>
      </w:r>
      <w:r w:rsidRPr="00FC3203">
        <w:rPr>
          <w:b/>
          <w:sz w:val="32"/>
        </w:rPr>
        <w:t xml:space="preserve"> </w:t>
      </w:r>
      <w:proofErr w:type="spellStart"/>
      <w:r w:rsidRPr="00FC3203">
        <w:rPr>
          <w:b/>
          <w:sz w:val="32"/>
        </w:rPr>
        <w:t>Ebstein’s</w:t>
      </w:r>
      <w:proofErr w:type="spellEnd"/>
      <w:r w:rsidRPr="00FC3203">
        <w:rPr>
          <w:b/>
          <w:sz w:val="32"/>
        </w:rPr>
        <w:t xml:space="preserve"> Anomaly: A significant tool for description of outcomes in patients with </w:t>
      </w:r>
      <w:r>
        <w:rPr>
          <w:b/>
          <w:sz w:val="32"/>
        </w:rPr>
        <w:t>a re evaluation</w:t>
      </w:r>
    </w:p>
    <w:p w:rsidR="00263148" w:rsidRPr="00521DA5" w:rsidRDefault="00263148" w:rsidP="00263148">
      <w:pPr>
        <w:pStyle w:val="NoSpacing"/>
        <w:jc w:val="both"/>
        <w:rPr>
          <w:b/>
        </w:rPr>
      </w:pPr>
    </w:p>
    <w:p w:rsidR="00263148" w:rsidRDefault="00263148" w:rsidP="00263148">
      <w:pPr>
        <w:pStyle w:val="NoSpacing"/>
        <w:jc w:val="both"/>
        <w:rPr>
          <w:b/>
        </w:rPr>
      </w:pPr>
      <w:r>
        <w:rPr>
          <w:szCs w:val="16"/>
        </w:rPr>
        <w:t>Maria Irene</w:t>
      </w:r>
      <w:r w:rsidRPr="00FC3203">
        <w:rPr>
          <w:szCs w:val="16"/>
        </w:rPr>
        <w:t xml:space="preserve"> Barillas</w:t>
      </w:r>
      <w:r>
        <w:rPr>
          <w:szCs w:val="16"/>
        </w:rPr>
        <w:t>-Lara</w:t>
      </w:r>
      <w:r w:rsidRPr="00FC3203">
        <w:rPr>
          <w:szCs w:val="16"/>
        </w:rPr>
        <w:t>, MD</w:t>
      </w:r>
      <w:r>
        <w:rPr>
          <w:szCs w:val="16"/>
        </w:rPr>
        <w:t xml:space="preserve">; Sonia </w:t>
      </w:r>
      <w:r w:rsidRPr="00FC3203">
        <w:rPr>
          <w:szCs w:val="16"/>
        </w:rPr>
        <w:t>Fortin</w:t>
      </w:r>
      <w:r>
        <w:rPr>
          <w:szCs w:val="16"/>
        </w:rPr>
        <w:t>-</w:t>
      </w:r>
      <w:proofErr w:type="spellStart"/>
      <w:r>
        <w:rPr>
          <w:szCs w:val="16"/>
        </w:rPr>
        <w:t>Gamero</w:t>
      </w:r>
      <w:proofErr w:type="spellEnd"/>
      <w:r w:rsidRPr="00FC3203">
        <w:rPr>
          <w:szCs w:val="16"/>
        </w:rPr>
        <w:t>, MD;</w:t>
      </w:r>
      <w:r>
        <w:rPr>
          <w:b/>
        </w:rPr>
        <w:t xml:space="preserve"> </w:t>
      </w:r>
      <w:r>
        <w:rPr>
          <w:szCs w:val="16"/>
        </w:rPr>
        <w:t xml:space="preserve">Ahmad </w:t>
      </w:r>
      <w:proofErr w:type="spellStart"/>
      <w:r>
        <w:rPr>
          <w:szCs w:val="16"/>
        </w:rPr>
        <w:t>Barout</w:t>
      </w:r>
      <w:proofErr w:type="spellEnd"/>
      <w:r w:rsidRPr="0003044B">
        <w:rPr>
          <w:szCs w:val="16"/>
        </w:rPr>
        <w:t>, MD</w:t>
      </w:r>
      <w:r>
        <w:rPr>
          <w:szCs w:val="16"/>
        </w:rPr>
        <w:t xml:space="preserve">; </w:t>
      </w:r>
      <w:r w:rsidRPr="0003044B">
        <w:rPr>
          <w:szCs w:val="16"/>
        </w:rPr>
        <w:t xml:space="preserve">Amanda R. </w:t>
      </w:r>
      <w:proofErr w:type="spellStart"/>
      <w:r w:rsidRPr="0003044B">
        <w:rPr>
          <w:szCs w:val="16"/>
        </w:rPr>
        <w:t>Bonikowske</w:t>
      </w:r>
      <w:proofErr w:type="spellEnd"/>
      <w:r w:rsidRPr="0003044B">
        <w:rPr>
          <w:szCs w:val="16"/>
        </w:rPr>
        <w:t>, PhD</w:t>
      </w:r>
      <w:r>
        <w:rPr>
          <w:szCs w:val="16"/>
        </w:rPr>
        <w:t xml:space="preserve">, </w:t>
      </w:r>
      <w:r w:rsidRPr="00FC3203">
        <w:rPr>
          <w:szCs w:val="16"/>
        </w:rPr>
        <w:t>Thomas G. Allison, PhD, MPH</w:t>
      </w:r>
      <w:r>
        <w:rPr>
          <w:szCs w:val="16"/>
        </w:rPr>
        <w:t>, FACC</w:t>
      </w:r>
    </w:p>
    <w:p w:rsidR="00263148" w:rsidRDefault="00263148" w:rsidP="00263148">
      <w:pPr>
        <w:pStyle w:val="NoSpacing"/>
        <w:jc w:val="both"/>
        <w:rPr>
          <w:b/>
        </w:rPr>
      </w:pPr>
    </w:p>
    <w:p w:rsidR="00263148" w:rsidRDefault="00263148" w:rsidP="00263148">
      <w:pPr>
        <w:spacing w:line="480" w:lineRule="auto"/>
        <w:rPr>
          <w:b/>
          <w:bCs/>
          <w:sz w:val="28"/>
        </w:rPr>
      </w:pPr>
      <w:r w:rsidRPr="0010049C">
        <w:rPr>
          <w:b/>
          <w:bCs/>
          <w:sz w:val="28"/>
        </w:rPr>
        <w:t>Mayo Clinic, Rochester, MN</w:t>
      </w:r>
    </w:p>
    <w:p w:rsidR="00263148" w:rsidRDefault="00263148" w:rsidP="00263148">
      <w:pPr>
        <w:spacing w:line="480" w:lineRule="auto"/>
        <w:ind w:firstLine="720"/>
        <w:jc w:val="center"/>
        <w:rPr>
          <w:b/>
          <w:bCs/>
          <w:sz w:val="28"/>
        </w:rPr>
      </w:pPr>
    </w:p>
    <w:p w:rsidR="00263148" w:rsidRPr="007306E8" w:rsidRDefault="00263148" w:rsidP="00263148">
      <w:pPr>
        <w:jc w:val="both"/>
      </w:pPr>
      <w:r w:rsidRPr="007306E8">
        <w:rPr>
          <w:b/>
        </w:rPr>
        <w:t>Corresponding Author:</w:t>
      </w:r>
      <w:r>
        <w:t xml:space="preserve"> </w:t>
      </w:r>
      <w:r>
        <w:tab/>
      </w:r>
      <w:r w:rsidRPr="007306E8">
        <w:rPr>
          <w:sz w:val="24"/>
          <w:szCs w:val="24"/>
        </w:rPr>
        <w:t>Thomas G. Allison,</w:t>
      </w:r>
      <w:r w:rsidRPr="007306E8">
        <w:rPr>
          <w:sz w:val="24"/>
          <w:szCs w:val="24"/>
          <w:lang w:val="hu-HU"/>
        </w:rPr>
        <w:t xml:space="preserve"> </w:t>
      </w:r>
      <w:r w:rsidRPr="007306E8">
        <w:rPr>
          <w:sz w:val="24"/>
          <w:szCs w:val="24"/>
        </w:rPr>
        <w:t>PhD, MPH, FACC</w:t>
      </w:r>
    </w:p>
    <w:p w:rsidR="00263148" w:rsidRPr="007306E8" w:rsidRDefault="00263148" w:rsidP="00263148">
      <w:pPr>
        <w:pStyle w:val="ListParagraph"/>
        <w:numPr>
          <w:ilvl w:val="4"/>
          <w:numId w:val="1"/>
        </w:numPr>
        <w:spacing w:after="200" w:line="276" w:lineRule="auto"/>
        <w:ind w:left="1530"/>
        <w:jc w:val="both"/>
      </w:pPr>
      <w:r>
        <w:rPr>
          <w:color w:val="000000" w:themeColor="text1"/>
        </w:rPr>
        <w:t>Department of Cardiovascular</w:t>
      </w:r>
      <w:r w:rsidRPr="007306E8">
        <w:rPr>
          <w:color w:val="000000" w:themeColor="text1"/>
        </w:rPr>
        <w:t xml:space="preserve"> Medicine, Mayo Clinic, Rochester, Minnesota</w:t>
      </w:r>
    </w:p>
    <w:p w:rsidR="00263148" w:rsidRPr="009741C8" w:rsidRDefault="00263148" w:rsidP="00263148">
      <w:pPr>
        <w:pStyle w:val="ListParagraph"/>
        <w:numPr>
          <w:ilvl w:val="4"/>
          <w:numId w:val="1"/>
        </w:numPr>
        <w:spacing w:after="200" w:line="276" w:lineRule="auto"/>
        <w:ind w:left="1530"/>
        <w:jc w:val="both"/>
      </w:pPr>
      <w:r w:rsidRPr="007306E8">
        <w:t>Mailing address: 200 First Street SW, Rochester, MN 55905, USA</w:t>
      </w:r>
      <w:r>
        <w:t xml:space="preserve"> </w:t>
      </w:r>
    </w:p>
    <w:p w:rsidR="00263148" w:rsidRPr="007306E8" w:rsidRDefault="00263148" w:rsidP="00263148">
      <w:pPr>
        <w:pStyle w:val="ListParagraph"/>
        <w:numPr>
          <w:ilvl w:val="4"/>
          <w:numId w:val="1"/>
        </w:numPr>
        <w:spacing w:after="200" w:line="276" w:lineRule="auto"/>
        <w:ind w:left="1530"/>
        <w:jc w:val="both"/>
      </w:pPr>
      <w:r>
        <w:t xml:space="preserve">Email: </w:t>
      </w:r>
      <w:r w:rsidRPr="007306E8">
        <w:t>allison.thomas@mayo.edu</w:t>
      </w:r>
    </w:p>
    <w:p w:rsidR="00263148" w:rsidRPr="00C51FF7" w:rsidRDefault="00263148" w:rsidP="00263148">
      <w:pPr>
        <w:pStyle w:val="ListParagraph"/>
        <w:numPr>
          <w:ilvl w:val="4"/>
          <w:numId w:val="1"/>
        </w:numPr>
        <w:spacing w:after="200" w:line="276" w:lineRule="auto"/>
        <w:ind w:left="1530"/>
        <w:jc w:val="both"/>
        <w:rPr>
          <w:color w:val="DA1F26"/>
        </w:rPr>
      </w:pPr>
      <w:r>
        <w:t>Phone: +1-</w:t>
      </w:r>
      <w:r w:rsidRPr="007306E8">
        <w:t>-507-284-6320</w:t>
      </w:r>
    </w:p>
    <w:p w:rsidR="00263148" w:rsidRPr="00C51FF7" w:rsidRDefault="00263148" w:rsidP="00263148">
      <w:pPr>
        <w:pStyle w:val="ListParagraph"/>
        <w:spacing w:after="200" w:line="276" w:lineRule="auto"/>
        <w:ind w:left="1530"/>
        <w:jc w:val="both"/>
        <w:rPr>
          <w:color w:val="DA1F26"/>
        </w:rPr>
      </w:pPr>
    </w:p>
    <w:p w:rsidR="00263148" w:rsidRPr="00C51FF7" w:rsidRDefault="00263148" w:rsidP="00263148">
      <w:pPr>
        <w:pStyle w:val="ListParagraph"/>
        <w:numPr>
          <w:ilvl w:val="0"/>
          <w:numId w:val="1"/>
        </w:numPr>
        <w:spacing w:line="480" w:lineRule="auto"/>
        <w:rPr>
          <w:color w:val="000000" w:themeColor="text1"/>
        </w:rPr>
      </w:pPr>
      <w:r w:rsidRPr="00C51FF7">
        <w:rPr>
          <w:b/>
          <w:color w:val="000000" w:themeColor="text1"/>
        </w:rPr>
        <w:t>Financial Support:</w:t>
      </w:r>
      <w:r w:rsidRPr="00C51FF7">
        <w:rPr>
          <w:color w:val="000000" w:themeColor="text1"/>
        </w:rPr>
        <w:t xml:space="preserve"> </w:t>
      </w:r>
      <w:r>
        <w:rPr>
          <w:color w:val="000000" w:themeColor="text1"/>
        </w:rPr>
        <w:t>No funding</w:t>
      </w:r>
    </w:p>
    <w:p w:rsidR="00263148" w:rsidRPr="00C51FF7" w:rsidRDefault="00263148" w:rsidP="00263148">
      <w:pPr>
        <w:pStyle w:val="ListParagraph"/>
        <w:numPr>
          <w:ilvl w:val="0"/>
          <w:numId w:val="1"/>
        </w:numPr>
        <w:spacing w:line="480" w:lineRule="auto"/>
        <w:rPr>
          <w:color w:val="000000" w:themeColor="text1"/>
        </w:rPr>
      </w:pPr>
      <w:r w:rsidRPr="00C51FF7">
        <w:rPr>
          <w:b/>
          <w:color w:val="000000" w:themeColor="text1"/>
        </w:rPr>
        <w:t>Short Title:</w:t>
      </w:r>
      <w:r>
        <w:rPr>
          <w:color w:val="000000" w:themeColor="text1"/>
        </w:rPr>
        <w:t xml:space="preserve"> </w:t>
      </w:r>
    </w:p>
    <w:p w:rsidR="00263148" w:rsidRPr="00C51FF7" w:rsidRDefault="00263148" w:rsidP="00263148">
      <w:pPr>
        <w:pStyle w:val="ListParagraph"/>
        <w:numPr>
          <w:ilvl w:val="0"/>
          <w:numId w:val="1"/>
        </w:numPr>
        <w:spacing w:line="480" w:lineRule="auto"/>
        <w:rPr>
          <w:b/>
          <w:color w:val="000000" w:themeColor="text1"/>
        </w:rPr>
      </w:pPr>
      <w:r w:rsidRPr="00C51FF7">
        <w:rPr>
          <w:b/>
          <w:color w:val="000000" w:themeColor="text1"/>
        </w:rPr>
        <w:t xml:space="preserve">Subject Terms: </w:t>
      </w:r>
      <w:proofErr w:type="spellStart"/>
      <w:r>
        <w:rPr>
          <w:color w:val="000000" w:themeColor="text1"/>
        </w:rPr>
        <w:t>Ebstein’s</w:t>
      </w:r>
      <w:proofErr w:type="spellEnd"/>
      <w:r>
        <w:rPr>
          <w:color w:val="000000" w:themeColor="text1"/>
        </w:rPr>
        <w:t xml:space="preserve"> anomaly, cardiopulmonary exercise test</w:t>
      </w:r>
    </w:p>
    <w:p w:rsidR="00263148" w:rsidRPr="00C51FF7" w:rsidRDefault="00263148" w:rsidP="00263148">
      <w:pPr>
        <w:pStyle w:val="ListParagraph"/>
        <w:numPr>
          <w:ilvl w:val="0"/>
          <w:numId w:val="1"/>
        </w:numPr>
        <w:spacing w:line="480" w:lineRule="auto"/>
        <w:rPr>
          <w:b/>
          <w:color w:val="000000" w:themeColor="text1"/>
        </w:rPr>
      </w:pPr>
      <w:r w:rsidRPr="00C51FF7">
        <w:rPr>
          <w:b/>
          <w:color w:val="000000" w:themeColor="text1"/>
        </w:rPr>
        <w:t xml:space="preserve">Word Count: </w:t>
      </w:r>
      <w:r>
        <w:rPr>
          <w:b/>
          <w:color w:val="000000" w:themeColor="text1"/>
        </w:rPr>
        <w:t>289</w:t>
      </w:r>
    </w:p>
    <w:p w:rsidR="00263148" w:rsidRPr="00C51FF7" w:rsidRDefault="00263148" w:rsidP="00263148">
      <w:pPr>
        <w:pStyle w:val="ListParagraph"/>
        <w:numPr>
          <w:ilvl w:val="0"/>
          <w:numId w:val="1"/>
        </w:numPr>
        <w:spacing w:line="480" w:lineRule="auto"/>
        <w:rPr>
          <w:color w:val="000000" w:themeColor="text1"/>
        </w:rPr>
      </w:pPr>
      <w:r w:rsidRPr="00C51FF7">
        <w:rPr>
          <w:b/>
          <w:color w:val="000000" w:themeColor="text1"/>
        </w:rPr>
        <w:t xml:space="preserve">Number of References: </w:t>
      </w:r>
    </w:p>
    <w:p w:rsidR="00263148" w:rsidRPr="00C51FF7" w:rsidRDefault="00263148" w:rsidP="00263148">
      <w:pPr>
        <w:pStyle w:val="ListParagraph"/>
        <w:numPr>
          <w:ilvl w:val="0"/>
          <w:numId w:val="1"/>
        </w:numPr>
        <w:spacing w:line="480" w:lineRule="auto"/>
        <w:rPr>
          <w:color w:val="000000" w:themeColor="text1"/>
        </w:rPr>
      </w:pPr>
      <w:r w:rsidRPr="00C51FF7">
        <w:rPr>
          <w:b/>
          <w:color w:val="000000" w:themeColor="text1"/>
        </w:rPr>
        <w:t xml:space="preserve">Number of Tables: </w:t>
      </w:r>
      <w:r>
        <w:rPr>
          <w:b/>
          <w:color w:val="000000" w:themeColor="text1"/>
        </w:rPr>
        <w:t>1</w:t>
      </w:r>
    </w:p>
    <w:p w:rsidR="00263148" w:rsidRPr="00263148" w:rsidRDefault="00263148" w:rsidP="00263148">
      <w:pPr>
        <w:pStyle w:val="ListParagraph"/>
        <w:numPr>
          <w:ilvl w:val="0"/>
          <w:numId w:val="1"/>
        </w:numPr>
        <w:spacing w:line="480" w:lineRule="auto"/>
        <w:rPr>
          <w:b/>
        </w:rPr>
      </w:pPr>
      <w:r w:rsidRPr="00C51FF7">
        <w:rPr>
          <w:b/>
          <w:color w:val="000000" w:themeColor="text1"/>
        </w:rPr>
        <w:t xml:space="preserve">Number of Figures: </w:t>
      </w:r>
    </w:p>
    <w:p w:rsidR="00263148" w:rsidRDefault="00263148" w:rsidP="00263148">
      <w:pPr>
        <w:spacing w:line="480" w:lineRule="auto"/>
        <w:rPr>
          <w:b/>
        </w:rPr>
      </w:pPr>
    </w:p>
    <w:p w:rsidR="00263148" w:rsidRDefault="00263148" w:rsidP="00263148">
      <w:pPr>
        <w:spacing w:line="480" w:lineRule="auto"/>
        <w:rPr>
          <w:b/>
        </w:rPr>
      </w:pPr>
    </w:p>
    <w:p w:rsidR="00263148" w:rsidRDefault="00263148" w:rsidP="00263148">
      <w:pPr>
        <w:spacing w:line="480" w:lineRule="auto"/>
        <w:rPr>
          <w:b/>
        </w:rPr>
      </w:pPr>
    </w:p>
    <w:p w:rsidR="00263148" w:rsidRPr="00263148" w:rsidRDefault="00263148" w:rsidP="00263148">
      <w:pPr>
        <w:spacing w:line="480" w:lineRule="auto"/>
        <w:rPr>
          <w:b/>
        </w:rPr>
      </w:pPr>
    </w:p>
    <w:p w:rsidR="00EE323F" w:rsidRDefault="00EE323F" w:rsidP="00EE323F">
      <w:r>
        <w:lastRenderedPageBreak/>
        <w:t>Abstract</w:t>
      </w:r>
    </w:p>
    <w:p w:rsidR="00EE323F" w:rsidRDefault="00EE323F" w:rsidP="00EE323F">
      <w:r>
        <w:t>Introduction</w:t>
      </w:r>
    </w:p>
    <w:p w:rsidR="00EE323F" w:rsidRDefault="00EE323F" w:rsidP="00EE323F">
      <w:proofErr w:type="spellStart"/>
      <w:r>
        <w:t>Ebstein’s</w:t>
      </w:r>
      <w:proofErr w:type="spellEnd"/>
      <w:r>
        <w:t xml:space="preserve"> anomaly (EA) consists of displaced tricuspid leaflets, creating an </w:t>
      </w:r>
      <w:proofErr w:type="spellStart"/>
      <w:r>
        <w:t>atrialization</w:t>
      </w:r>
      <w:proofErr w:type="spellEnd"/>
      <w:r>
        <w:t xml:space="preserve"> of right ventricle and incompetence of the valve that will result in right ventricular dilatation. Cardiopulmonary exercise testing (CPX) has evolved as a technique that will not only help reveal the severity but also establish the prognosis of these patients. </w:t>
      </w:r>
    </w:p>
    <w:p w:rsidR="00EE323F" w:rsidRDefault="00EE323F" w:rsidP="00EE323F"/>
    <w:p w:rsidR="00EE323F" w:rsidRDefault="00EE323F" w:rsidP="00EE323F">
      <w:r>
        <w:t>Hypothesis</w:t>
      </w:r>
    </w:p>
    <w:p w:rsidR="00EE323F" w:rsidRDefault="00EE323F" w:rsidP="00EE323F">
      <w:r>
        <w:t xml:space="preserve">Describe the outcomes that occurred in repaired </w:t>
      </w:r>
      <w:proofErr w:type="spellStart"/>
      <w:r>
        <w:t>Ebstein’s</w:t>
      </w:r>
      <w:proofErr w:type="spellEnd"/>
      <w:r>
        <w:t xml:space="preserve"> up till April 2018 taken from the Integrated Stress Center database, including redo procedures performed to establish the role of CPX in decision-making for further therapy. </w:t>
      </w:r>
    </w:p>
    <w:p w:rsidR="00EE323F" w:rsidRDefault="00EE323F" w:rsidP="00EE323F"/>
    <w:p w:rsidR="00EE323F" w:rsidRDefault="00EE323F" w:rsidP="00EE323F">
      <w:r>
        <w:t>Methods</w:t>
      </w:r>
    </w:p>
    <w:p w:rsidR="00EE323F" w:rsidRDefault="00EE323F" w:rsidP="00EE323F">
      <w:r>
        <w:t>Mayo Integrated Stress Center database was queried from January 2011 to April 2018. Electrocardiographic and echocardiographic data were extracted from patient records to match the date of the CPX. Patients were divided by redo surgery versus continued follow-up after the CPX. T-tests were used for continuous variables and Pearson’s chi-squared tests for discrete variables. Logistic regression was used to identify significant predictors of redo surgery. Level of significance was P &lt; .05.</w:t>
      </w:r>
    </w:p>
    <w:p w:rsidR="00EE323F" w:rsidRDefault="00EE323F" w:rsidP="00EE323F"/>
    <w:p w:rsidR="00EE323F" w:rsidRDefault="00EE323F" w:rsidP="00EE323F">
      <w:r>
        <w:t>Results</w:t>
      </w:r>
    </w:p>
    <w:p w:rsidR="00EE323F" w:rsidRDefault="00EE323F" w:rsidP="00EE323F">
      <w:r>
        <w:t xml:space="preserve">We identified 74 eligible patients of whom 26 (35%) had a redo procedure X=70.9 days after their last CPX. Patient characteristics are presented in Table 1 by redo status. Parameters that were statistically significantly different were: % predicted peak VO2 (p=0.04), peak VO2 &lt;60% predicted (p=0.01), severe right ventricle dilatation (p=0.006) and severe tricuspid valve regurgitation (p=&lt;.0001). Of patients with severe TVR, 19 of 25 (76%) were referred to surgery. Patients without severe TVR were further triaged by CPX: 7 of 17 (41%) of patients peak VO2 &lt; 60% predicted were referred for surgery versus 1/30 (3%) with peak VO2 ≥ 60% predicted. </w:t>
      </w:r>
    </w:p>
    <w:p w:rsidR="00EE323F" w:rsidRDefault="00EE323F" w:rsidP="00EE323F"/>
    <w:p w:rsidR="00EE323F" w:rsidRDefault="00EE323F" w:rsidP="00EE323F">
      <w:r>
        <w:t>Conclusion</w:t>
      </w:r>
    </w:p>
    <w:p w:rsidR="00581A56" w:rsidRDefault="00EE323F" w:rsidP="00EE323F">
      <w:r>
        <w:t xml:space="preserve">In our cohort of repaired </w:t>
      </w:r>
      <w:proofErr w:type="spellStart"/>
      <w:r>
        <w:t>Ebstein’s</w:t>
      </w:r>
      <w:proofErr w:type="spellEnd"/>
      <w:r>
        <w:t xml:space="preserve"> anomaly, severity of TR combined with low peak VO2 on CPX guided identification of candidates for redo surgery.</w:t>
      </w:r>
    </w:p>
    <w:p w:rsidR="00EE323F" w:rsidRDefault="00EE323F" w:rsidP="00EE323F">
      <w:pPr>
        <w:pStyle w:val="NoSpacing"/>
        <w:rPr>
          <w:b/>
        </w:rPr>
      </w:pPr>
    </w:p>
    <w:p w:rsidR="00EE323F" w:rsidRPr="00951BBB" w:rsidRDefault="00EE323F" w:rsidP="00EE323F">
      <w:pPr>
        <w:pStyle w:val="NoSpacing"/>
        <w:rPr>
          <w:b/>
        </w:rPr>
      </w:pPr>
      <w:r w:rsidRPr="00951BBB">
        <w:rPr>
          <w:b/>
        </w:rPr>
        <w:lastRenderedPageBreak/>
        <w:t xml:space="preserve">Table 1. </w:t>
      </w:r>
    </w:p>
    <w:tbl>
      <w:tblPr>
        <w:tblStyle w:val="TableGrid"/>
        <w:tblW w:w="0" w:type="auto"/>
        <w:tblLook w:val="04A0" w:firstRow="1" w:lastRow="0" w:firstColumn="1" w:lastColumn="0" w:noHBand="0" w:noVBand="1"/>
      </w:tblPr>
      <w:tblGrid>
        <w:gridCol w:w="2178"/>
        <w:gridCol w:w="2250"/>
        <w:gridCol w:w="2340"/>
        <w:gridCol w:w="2790"/>
      </w:tblGrid>
      <w:tr w:rsidR="00EE323F" w:rsidTr="004C38AA">
        <w:tc>
          <w:tcPr>
            <w:tcW w:w="2178" w:type="dxa"/>
          </w:tcPr>
          <w:p w:rsidR="00EE323F" w:rsidRDefault="00EE323F" w:rsidP="004C38AA">
            <w:pPr>
              <w:rPr>
                <w:rFonts w:asciiTheme="majorHAnsi" w:hAnsiTheme="majorHAnsi"/>
              </w:rPr>
            </w:pPr>
          </w:p>
        </w:tc>
        <w:tc>
          <w:tcPr>
            <w:tcW w:w="7380" w:type="dxa"/>
            <w:gridSpan w:val="3"/>
          </w:tcPr>
          <w:p w:rsidR="00EE323F" w:rsidRPr="002D140C" w:rsidRDefault="00EE323F" w:rsidP="004C38AA">
            <w:pPr>
              <w:widowControl w:val="0"/>
              <w:autoSpaceDE w:val="0"/>
              <w:autoSpaceDN w:val="0"/>
              <w:adjustRightInd w:val="0"/>
              <w:jc w:val="center"/>
              <w:rPr>
                <w:b/>
              </w:rPr>
            </w:pPr>
            <w:r w:rsidRPr="002D140C">
              <w:rPr>
                <w:b/>
              </w:rPr>
              <w:t xml:space="preserve">Repaired </w:t>
            </w:r>
            <w:proofErr w:type="spellStart"/>
            <w:r w:rsidRPr="002D140C">
              <w:rPr>
                <w:b/>
              </w:rPr>
              <w:t>Ebstein’s</w:t>
            </w:r>
            <w:proofErr w:type="spellEnd"/>
          </w:p>
        </w:tc>
      </w:tr>
      <w:tr w:rsidR="00EE323F" w:rsidTr="004C38AA">
        <w:tc>
          <w:tcPr>
            <w:tcW w:w="2178" w:type="dxa"/>
          </w:tcPr>
          <w:p w:rsidR="00EE323F" w:rsidRDefault="00EE323F" w:rsidP="004C38AA">
            <w:pPr>
              <w:rPr>
                <w:rFonts w:asciiTheme="majorHAnsi" w:hAnsiTheme="majorHAnsi"/>
              </w:rPr>
            </w:pPr>
          </w:p>
        </w:tc>
        <w:tc>
          <w:tcPr>
            <w:tcW w:w="2250" w:type="dxa"/>
          </w:tcPr>
          <w:p w:rsidR="00EE323F" w:rsidRPr="002D140C" w:rsidRDefault="00EE323F" w:rsidP="004C38AA">
            <w:pPr>
              <w:widowControl w:val="0"/>
              <w:autoSpaceDE w:val="0"/>
              <w:autoSpaceDN w:val="0"/>
              <w:adjustRightInd w:val="0"/>
              <w:jc w:val="center"/>
              <w:rPr>
                <w:b/>
              </w:rPr>
            </w:pPr>
            <w:r w:rsidRPr="002D140C">
              <w:rPr>
                <w:b/>
              </w:rPr>
              <w:t>Redo  surgery</w:t>
            </w:r>
          </w:p>
          <w:p w:rsidR="00EE323F" w:rsidRPr="002D140C" w:rsidRDefault="00EE323F" w:rsidP="004C38AA">
            <w:pPr>
              <w:widowControl w:val="0"/>
              <w:autoSpaceDE w:val="0"/>
              <w:autoSpaceDN w:val="0"/>
              <w:adjustRightInd w:val="0"/>
              <w:jc w:val="center"/>
              <w:rPr>
                <w:b/>
              </w:rPr>
            </w:pPr>
            <w:r>
              <w:rPr>
                <w:b/>
              </w:rPr>
              <w:t>n=26</w:t>
            </w:r>
          </w:p>
        </w:tc>
        <w:tc>
          <w:tcPr>
            <w:tcW w:w="2340" w:type="dxa"/>
          </w:tcPr>
          <w:p w:rsidR="00EE323F" w:rsidRDefault="00EE323F" w:rsidP="004C38AA">
            <w:pPr>
              <w:widowControl w:val="0"/>
              <w:autoSpaceDE w:val="0"/>
              <w:autoSpaceDN w:val="0"/>
              <w:adjustRightInd w:val="0"/>
              <w:jc w:val="center"/>
              <w:rPr>
                <w:b/>
              </w:rPr>
            </w:pPr>
            <w:r w:rsidRPr="002D140C">
              <w:rPr>
                <w:b/>
              </w:rPr>
              <w:t>Follow-up</w:t>
            </w:r>
          </w:p>
          <w:p w:rsidR="00EE323F" w:rsidRPr="002D140C" w:rsidRDefault="00EE323F" w:rsidP="004C38AA">
            <w:pPr>
              <w:widowControl w:val="0"/>
              <w:autoSpaceDE w:val="0"/>
              <w:autoSpaceDN w:val="0"/>
              <w:adjustRightInd w:val="0"/>
              <w:jc w:val="center"/>
              <w:rPr>
                <w:b/>
              </w:rPr>
            </w:pPr>
            <w:r w:rsidRPr="002D140C">
              <w:rPr>
                <w:b/>
              </w:rPr>
              <w:t xml:space="preserve"> n=48</w:t>
            </w:r>
          </w:p>
        </w:tc>
        <w:tc>
          <w:tcPr>
            <w:tcW w:w="2790" w:type="dxa"/>
          </w:tcPr>
          <w:p w:rsidR="00EE323F" w:rsidRPr="002D140C" w:rsidRDefault="00EE323F" w:rsidP="004C38AA">
            <w:pPr>
              <w:widowControl w:val="0"/>
              <w:autoSpaceDE w:val="0"/>
              <w:autoSpaceDN w:val="0"/>
              <w:adjustRightInd w:val="0"/>
              <w:jc w:val="center"/>
              <w:rPr>
                <w:b/>
              </w:rPr>
            </w:pPr>
            <w:r w:rsidRPr="002D140C">
              <w:rPr>
                <w:b/>
              </w:rPr>
              <w:t>test, P</w:t>
            </w:r>
          </w:p>
        </w:tc>
      </w:tr>
      <w:tr w:rsidR="00EE323F" w:rsidTr="004C38AA">
        <w:tc>
          <w:tcPr>
            <w:tcW w:w="2178" w:type="dxa"/>
          </w:tcPr>
          <w:p w:rsidR="00EE323F" w:rsidRPr="000864AE" w:rsidRDefault="00EE323F" w:rsidP="004C38AA">
            <w:pPr>
              <w:widowControl w:val="0"/>
              <w:autoSpaceDE w:val="0"/>
              <w:autoSpaceDN w:val="0"/>
              <w:adjustRightInd w:val="0"/>
              <w:rPr>
                <w:b/>
              </w:rPr>
            </w:pPr>
            <w:r w:rsidRPr="000864AE">
              <w:rPr>
                <w:b/>
              </w:rPr>
              <w:t xml:space="preserve">Age </w:t>
            </w:r>
            <w:r>
              <w:rPr>
                <w:b/>
              </w:rPr>
              <w:t>(years)</w:t>
            </w:r>
          </w:p>
        </w:tc>
        <w:tc>
          <w:tcPr>
            <w:tcW w:w="2250" w:type="dxa"/>
          </w:tcPr>
          <w:p w:rsidR="00EE323F" w:rsidRPr="002D140C" w:rsidRDefault="00EE323F" w:rsidP="004C38AA">
            <w:pPr>
              <w:widowControl w:val="0"/>
              <w:autoSpaceDE w:val="0"/>
              <w:autoSpaceDN w:val="0"/>
              <w:adjustRightInd w:val="0"/>
              <w:jc w:val="center"/>
            </w:pPr>
            <w:r w:rsidRPr="002D140C">
              <w:t>X= 41.68</w:t>
            </w:r>
            <w:r>
              <w:t xml:space="preserve"> </w:t>
            </w:r>
          </w:p>
          <w:p w:rsidR="00EE323F" w:rsidRPr="002D140C" w:rsidRDefault="00EE323F" w:rsidP="004C38AA">
            <w:pPr>
              <w:widowControl w:val="0"/>
              <w:autoSpaceDE w:val="0"/>
              <w:autoSpaceDN w:val="0"/>
              <w:adjustRightInd w:val="0"/>
              <w:jc w:val="center"/>
            </w:pPr>
            <w:r w:rsidRPr="002D140C">
              <w:t>(21-71)</w:t>
            </w:r>
          </w:p>
        </w:tc>
        <w:tc>
          <w:tcPr>
            <w:tcW w:w="2340" w:type="dxa"/>
          </w:tcPr>
          <w:p w:rsidR="00EE323F" w:rsidRPr="002D140C" w:rsidRDefault="00EE323F" w:rsidP="004C38AA">
            <w:pPr>
              <w:widowControl w:val="0"/>
              <w:autoSpaceDE w:val="0"/>
              <w:autoSpaceDN w:val="0"/>
              <w:adjustRightInd w:val="0"/>
              <w:jc w:val="center"/>
            </w:pPr>
            <w:r w:rsidRPr="002D140C">
              <w:t>X=46.18</w:t>
            </w:r>
            <w:r>
              <w:t xml:space="preserve"> </w:t>
            </w:r>
          </w:p>
          <w:p w:rsidR="00EE323F" w:rsidRPr="002D140C" w:rsidRDefault="00EE323F" w:rsidP="004C38AA">
            <w:pPr>
              <w:widowControl w:val="0"/>
              <w:autoSpaceDE w:val="0"/>
              <w:autoSpaceDN w:val="0"/>
              <w:adjustRightInd w:val="0"/>
              <w:jc w:val="center"/>
            </w:pPr>
            <w:r w:rsidRPr="002D140C">
              <w:t>(24-58)</w:t>
            </w:r>
          </w:p>
        </w:tc>
        <w:tc>
          <w:tcPr>
            <w:tcW w:w="2790" w:type="dxa"/>
          </w:tcPr>
          <w:p w:rsidR="00EE323F" w:rsidRPr="002D140C" w:rsidRDefault="00EE323F" w:rsidP="004C38AA">
            <w:pPr>
              <w:widowControl w:val="0"/>
              <w:autoSpaceDE w:val="0"/>
              <w:autoSpaceDN w:val="0"/>
              <w:adjustRightInd w:val="0"/>
              <w:jc w:val="center"/>
            </w:pPr>
            <w:r>
              <w:t>χ</w:t>
            </w:r>
            <w:r w:rsidRPr="00322008">
              <w:rPr>
                <w:vertAlign w:val="superscript"/>
              </w:rPr>
              <w:t>2</w:t>
            </w:r>
            <w:r>
              <w:rPr>
                <w:vertAlign w:val="superscript"/>
              </w:rPr>
              <w:t xml:space="preserve"> </w:t>
            </w:r>
            <w:r>
              <w:t>=</w:t>
            </w:r>
            <w:r w:rsidRPr="002D140C">
              <w:t>1.60, 0.1138</w:t>
            </w:r>
          </w:p>
        </w:tc>
      </w:tr>
      <w:tr w:rsidR="00EE323F" w:rsidTr="004C38AA">
        <w:tc>
          <w:tcPr>
            <w:tcW w:w="2178" w:type="dxa"/>
          </w:tcPr>
          <w:p w:rsidR="00EE323F" w:rsidRPr="00BD3C00" w:rsidRDefault="00EE323F" w:rsidP="004C38AA">
            <w:pPr>
              <w:widowControl w:val="0"/>
              <w:autoSpaceDE w:val="0"/>
              <w:autoSpaceDN w:val="0"/>
              <w:adjustRightInd w:val="0"/>
              <w:rPr>
                <w:b/>
              </w:rPr>
            </w:pPr>
            <w:r w:rsidRPr="00BD3C00">
              <w:rPr>
                <w:b/>
              </w:rPr>
              <w:t>Female</w:t>
            </w:r>
          </w:p>
        </w:tc>
        <w:tc>
          <w:tcPr>
            <w:tcW w:w="2250" w:type="dxa"/>
          </w:tcPr>
          <w:p w:rsidR="00EE323F" w:rsidRPr="00BD3C00" w:rsidRDefault="00EE323F" w:rsidP="004C38AA">
            <w:pPr>
              <w:widowControl w:val="0"/>
              <w:autoSpaceDE w:val="0"/>
              <w:autoSpaceDN w:val="0"/>
              <w:adjustRightInd w:val="0"/>
              <w:jc w:val="center"/>
            </w:pPr>
            <w:r w:rsidRPr="00BD3C00">
              <w:t>19</w:t>
            </w:r>
          </w:p>
          <w:p w:rsidR="00EE323F" w:rsidRPr="00BD3C00" w:rsidRDefault="00EE323F" w:rsidP="004C38AA">
            <w:pPr>
              <w:widowControl w:val="0"/>
              <w:autoSpaceDE w:val="0"/>
              <w:autoSpaceDN w:val="0"/>
              <w:adjustRightInd w:val="0"/>
              <w:jc w:val="center"/>
            </w:pPr>
            <w:r>
              <w:t>(73</w:t>
            </w:r>
            <w:r w:rsidRPr="00BD3C00">
              <w:t>%)</w:t>
            </w:r>
          </w:p>
        </w:tc>
        <w:tc>
          <w:tcPr>
            <w:tcW w:w="2340" w:type="dxa"/>
          </w:tcPr>
          <w:p w:rsidR="00EE323F" w:rsidRPr="00BD3C00" w:rsidRDefault="00EE323F" w:rsidP="004C38AA">
            <w:pPr>
              <w:widowControl w:val="0"/>
              <w:autoSpaceDE w:val="0"/>
              <w:autoSpaceDN w:val="0"/>
              <w:adjustRightInd w:val="0"/>
              <w:jc w:val="center"/>
            </w:pPr>
            <w:r w:rsidRPr="00BD3C00">
              <w:t>33</w:t>
            </w:r>
          </w:p>
          <w:p w:rsidR="00EE323F" w:rsidRPr="00BD3C00" w:rsidRDefault="00EE323F" w:rsidP="004C38AA">
            <w:pPr>
              <w:widowControl w:val="0"/>
              <w:autoSpaceDE w:val="0"/>
              <w:autoSpaceDN w:val="0"/>
              <w:adjustRightInd w:val="0"/>
              <w:jc w:val="center"/>
            </w:pPr>
            <w:r w:rsidRPr="00BD3C00">
              <w:t>(69%)</w:t>
            </w:r>
          </w:p>
        </w:tc>
        <w:tc>
          <w:tcPr>
            <w:tcW w:w="2790" w:type="dxa"/>
          </w:tcPr>
          <w:p w:rsidR="00EE323F" w:rsidRPr="00BD3C00" w:rsidRDefault="00EE323F" w:rsidP="004C38AA">
            <w:pPr>
              <w:widowControl w:val="0"/>
              <w:autoSpaceDE w:val="0"/>
              <w:autoSpaceDN w:val="0"/>
              <w:adjustRightInd w:val="0"/>
              <w:jc w:val="center"/>
            </w:pPr>
            <w:r>
              <w:t>χ</w:t>
            </w:r>
            <w:r w:rsidRPr="00322008">
              <w:rPr>
                <w:vertAlign w:val="superscript"/>
              </w:rPr>
              <w:t>2</w:t>
            </w:r>
            <w:r>
              <w:t>=</w:t>
            </w:r>
            <w:r w:rsidRPr="00BD3C00">
              <w:t>0.0213, 0.8839</w:t>
            </w:r>
          </w:p>
        </w:tc>
      </w:tr>
      <w:tr w:rsidR="00EE323F" w:rsidTr="004C38AA">
        <w:tc>
          <w:tcPr>
            <w:tcW w:w="2178" w:type="dxa"/>
          </w:tcPr>
          <w:p w:rsidR="00EE323F" w:rsidRPr="000864AE" w:rsidRDefault="00EE323F" w:rsidP="004C38AA">
            <w:pPr>
              <w:widowControl w:val="0"/>
              <w:autoSpaceDE w:val="0"/>
              <w:autoSpaceDN w:val="0"/>
              <w:adjustRightInd w:val="0"/>
              <w:rPr>
                <w:b/>
              </w:rPr>
            </w:pPr>
            <w:r w:rsidRPr="000864AE">
              <w:rPr>
                <w:b/>
              </w:rPr>
              <w:t>BMI kg/m2</w:t>
            </w:r>
          </w:p>
        </w:tc>
        <w:tc>
          <w:tcPr>
            <w:tcW w:w="2250" w:type="dxa"/>
          </w:tcPr>
          <w:p w:rsidR="00EE323F" w:rsidRPr="002D140C" w:rsidRDefault="00EE323F" w:rsidP="004C38AA">
            <w:pPr>
              <w:widowControl w:val="0"/>
              <w:autoSpaceDE w:val="0"/>
              <w:autoSpaceDN w:val="0"/>
              <w:adjustRightInd w:val="0"/>
              <w:jc w:val="center"/>
            </w:pPr>
            <w:r w:rsidRPr="002D140C">
              <w:t>X= 27.14</w:t>
            </w:r>
          </w:p>
          <w:p w:rsidR="00EE323F" w:rsidRPr="002D140C" w:rsidRDefault="00EE323F" w:rsidP="004C38AA">
            <w:pPr>
              <w:widowControl w:val="0"/>
              <w:autoSpaceDE w:val="0"/>
              <w:autoSpaceDN w:val="0"/>
              <w:adjustRightInd w:val="0"/>
              <w:jc w:val="center"/>
            </w:pPr>
            <w:r w:rsidRPr="002D140C">
              <w:t>(20-35)</w:t>
            </w:r>
          </w:p>
        </w:tc>
        <w:tc>
          <w:tcPr>
            <w:tcW w:w="2340" w:type="dxa"/>
          </w:tcPr>
          <w:p w:rsidR="00EE323F" w:rsidRPr="002D140C" w:rsidRDefault="00EE323F" w:rsidP="004C38AA">
            <w:pPr>
              <w:widowControl w:val="0"/>
              <w:autoSpaceDE w:val="0"/>
              <w:autoSpaceDN w:val="0"/>
              <w:adjustRightInd w:val="0"/>
              <w:jc w:val="center"/>
            </w:pPr>
            <w:r w:rsidRPr="002D140C">
              <w:t>X=26.7</w:t>
            </w:r>
          </w:p>
          <w:p w:rsidR="00EE323F" w:rsidRPr="002D140C" w:rsidRDefault="00EE323F" w:rsidP="004C38AA">
            <w:pPr>
              <w:widowControl w:val="0"/>
              <w:autoSpaceDE w:val="0"/>
              <w:autoSpaceDN w:val="0"/>
              <w:adjustRightInd w:val="0"/>
              <w:jc w:val="center"/>
            </w:pPr>
            <w:r w:rsidRPr="002D140C">
              <w:t>(18.8-39)</w:t>
            </w:r>
          </w:p>
        </w:tc>
        <w:tc>
          <w:tcPr>
            <w:tcW w:w="2790" w:type="dxa"/>
          </w:tcPr>
          <w:p w:rsidR="00EE323F" w:rsidRPr="002D140C" w:rsidRDefault="00EE323F" w:rsidP="004C38AA">
            <w:pPr>
              <w:widowControl w:val="0"/>
              <w:autoSpaceDE w:val="0"/>
              <w:autoSpaceDN w:val="0"/>
              <w:adjustRightInd w:val="0"/>
              <w:jc w:val="center"/>
            </w:pPr>
            <w:r w:rsidRPr="00552E8F">
              <w:t>t=</w:t>
            </w:r>
            <w:r w:rsidRPr="002D140C">
              <w:t>0.38 , 0.7024</w:t>
            </w:r>
          </w:p>
        </w:tc>
      </w:tr>
      <w:tr w:rsidR="00EE323F" w:rsidTr="004C38AA">
        <w:tc>
          <w:tcPr>
            <w:tcW w:w="2178" w:type="dxa"/>
          </w:tcPr>
          <w:p w:rsidR="00EE323F" w:rsidRPr="00BD3C00" w:rsidRDefault="00EE323F" w:rsidP="004C38AA">
            <w:pPr>
              <w:widowControl w:val="0"/>
              <w:autoSpaceDE w:val="0"/>
              <w:autoSpaceDN w:val="0"/>
              <w:adjustRightInd w:val="0"/>
              <w:rPr>
                <w:b/>
              </w:rPr>
            </w:pPr>
            <w:r w:rsidRPr="00BD3C00">
              <w:rPr>
                <w:b/>
              </w:rPr>
              <w:t>PFO</w:t>
            </w:r>
          </w:p>
        </w:tc>
        <w:tc>
          <w:tcPr>
            <w:tcW w:w="2250" w:type="dxa"/>
          </w:tcPr>
          <w:p w:rsidR="00EE323F" w:rsidRPr="00BD3C00" w:rsidRDefault="00EE323F" w:rsidP="004C38AA">
            <w:pPr>
              <w:widowControl w:val="0"/>
              <w:autoSpaceDE w:val="0"/>
              <w:autoSpaceDN w:val="0"/>
              <w:adjustRightInd w:val="0"/>
              <w:jc w:val="center"/>
            </w:pPr>
            <w:r w:rsidRPr="00BD3C00">
              <w:t>8</w:t>
            </w:r>
          </w:p>
          <w:p w:rsidR="00EE323F" w:rsidRPr="00BD3C00" w:rsidRDefault="00EE323F" w:rsidP="004C38AA">
            <w:pPr>
              <w:widowControl w:val="0"/>
              <w:autoSpaceDE w:val="0"/>
              <w:autoSpaceDN w:val="0"/>
              <w:adjustRightInd w:val="0"/>
              <w:jc w:val="center"/>
            </w:pPr>
            <w:r>
              <w:t>(31</w:t>
            </w:r>
            <w:r w:rsidRPr="00BD3C00">
              <w:t>%)</w:t>
            </w:r>
          </w:p>
        </w:tc>
        <w:tc>
          <w:tcPr>
            <w:tcW w:w="2340" w:type="dxa"/>
          </w:tcPr>
          <w:p w:rsidR="00EE323F" w:rsidRPr="00BD3C00" w:rsidRDefault="00EE323F" w:rsidP="004C38AA">
            <w:pPr>
              <w:widowControl w:val="0"/>
              <w:autoSpaceDE w:val="0"/>
              <w:autoSpaceDN w:val="0"/>
              <w:adjustRightInd w:val="0"/>
              <w:jc w:val="center"/>
            </w:pPr>
            <w:r w:rsidRPr="00BD3C00">
              <w:t>16</w:t>
            </w:r>
          </w:p>
          <w:p w:rsidR="00EE323F" w:rsidRPr="00BD3C00" w:rsidRDefault="00EE323F" w:rsidP="004C38AA">
            <w:pPr>
              <w:widowControl w:val="0"/>
              <w:autoSpaceDE w:val="0"/>
              <w:autoSpaceDN w:val="0"/>
              <w:adjustRightInd w:val="0"/>
              <w:jc w:val="center"/>
            </w:pPr>
            <w:r w:rsidRPr="00BD3C00">
              <w:t>(33%)</w:t>
            </w:r>
          </w:p>
        </w:tc>
        <w:tc>
          <w:tcPr>
            <w:tcW w:w="2790" w:type="dxa"/>
          </w:tcPr>
          <w:p w:rsidR="00EE323F" w:rsidRPr="00BD3C00" w:rsidRDefault="00EE323F" w:rsidP="004C38AA">
            <w:pPr>
              <w:widowControl w:val="0"/>
              <w:autoSpaceDE w:val="0"/>
              <w:autoSpaceDN w:val="0"/>
              <w:adjustRightInd w:val="0"/>
              <w:jc w:val="center"/>
            </w:pPr>
            <w:r>
              <w:t>χ</w:t>
            </w:r>
            <w:r w:rsidRPr="00322008">
              <w:rPr>
                <w:vertAlign w:val="superscript"/>
              </w:rPr>
              <w:t>2</w:t>
            </w:r>
            <w:r>
              <w:t>=</w:t>
            </w:r>
            <w:r w:rsidRPr="00BD3C00">
              <w:t>----, 0.8012</w:t>
            </w:r>
          </w:p>
        </w:tc>
      </w:tr>
      <w:tr w:rsidR="00EE323F" w:rsidTr="004C38AA">
        <w:tc>
          <w:tcPr>
            <w:tcW w:w="2178" w:type="dxa"/>
          </w:tcPr>
          <w:p w:rsidR="00EE323F" w:rsidRPr="00BD3C00" w:rsidRDefault="00EE323F" w:rsidP="004C38AA">
            <w:pPr>
              <w:widowControl w:val="0"/>
              <w:autoSpaceDE w:val="0"/>
              <w:autoSpaceDN w:val="0"/>
              <w:adjustRightInd w:val="0"/>
              <w:rPr>
                <w:b/>
              </w:rPr>
            </w:pPr>
            <w:r w:rsidRPr="00BD3C00">
              <w:rPr>
                <w:b/>
              </w:rPr>
              <w:t>ASD</w:t>
            </w:r>
          </w:p>
        </w:tc>
        <w:tc>
          <w:tcPr>
            <w:tcW w:w="2250" w:type="dxa"/>
          </w:tcPr>
          <w:p w:rsidR="00EE323F" w:rsidRPr="00BD3C00" w:rsidRDefault="00EE323F" w:rsidP="004C38AA">
            <w:pPr>
              <w:widowControl w:val="0"/>
              <w:autoSpaceDE w:val="0"/>
              <w:autoSpaceDN w:val="0"/>
              <w:adjustRightInd w:val="0"/>
              <w:jc w:val="center"/>
            </w:pPr>
            <w:r w:rsidRPr="00BD3C00">
              <w:t>11</w:t>
            </w:r>
          </w:p>
          <w:p w:rsidR="00EE323F" w:rsidRPr="00BD3C00" w:rsidRDefault="00EE323F" w:rsidP="004C38AA">
            <w:pPr>
              <w:widowControl w:val="0"/>
              <w:autoSpaceDE w:val="0"/>
              <w:autoSpaceDN w:val="0"/>
              <w:adjustRightInd w:val="0"/>
              <w:jc w:val="center"/>
            </w:pPr>
            <w:r>
              <w:t>(42</w:t>
            </w:r>
            <w:r w:rsidRPr="00BD3C00">
              <w:t>%)</w:t>
            </w:r>
          </w:p>
        </w:tc>
        <w:tc>
          <w:tcPr>
            <w:tcW w:w="2340" w:type="dxa"/>
          </w:tcPr>
          <w:p w:rsidR="00EE323F" w:rsidRPr="00BD3C00" w:rsidRDefault="00EE323F" w:rsidP="004C38AA">
            <w:pPr>
              <w:widowControl w:val="0"/>
              <w:autoSpaceDE w:val="0"/>
              <w:autoSpaceDN w:val="0"/>
              <w:adjustRightInd w:val="0"/>
              <w:jc w:val="center"/>
            </w:pPr>
            <w:r w:rsidRPr="00BD3C00">
              <w:t>18</w:t>
            </w:r>
          </w:p>
          <w:p w:rsidR="00EE323F" w:rsidRPr="00BD3C00" w:rsidRDefault="00EE323F" w:rsidP="004C38AA">
            <w:pPr>
              <w:widowControl w:val="0"/>
              <w:autoSpaceDE w:val="0"/>
              <w:autoSpaceDN w:val="0"/>
              <w:adjustRightInd w:val="0"/>
              <w:jc w:val="center"/>
            </w:pPr>
            <w:r w:rsidRPr="00BD3C00">
              <w:t>(37%)</w:t>
            </w:r>
          </w:p>
        </w:tc>
        <w:tc>
          <w:tcPr>
            <w:tcW w:w="2790" w:type="dxa"/>
          </w:tcPr>
          <w:p w:rsidR="00EE323F" w:rsidRPr="00BD3C00" w:rsidRDefault="00EE323F" w:rsidP="004C38AA">
            <w:pPr>
              <w:widowControl w:val="0"/>
              <w:autoSpaceDE w:val="0"/>
              <w:autoSpaceDN w:val="0"/>
              <w:adjustRightInd w:val="0"/>
              <w:jc w:val="center"/>
            </w:pPr>
            <w:r>
              <w:t>χ</w:t>
            </w:r>
            <w:r w:rsidRPr="00322008">
              <w:rPr>
                <w:vertAlign w:val="superscript"/>
              </w:rPr>
              <w:t>2</w:t>
            </w:r>
            <w:r w:rsidRPr="00BD3C00">
              <w:t>0.0765, 0.7821</w:t>
            </w:r>
          </w:p>
        </w:tc>
      </w:tr>
      <w:tr w:rsidR="00EE323F" w:rsidTr="004C38AA">
        <w:tc>
          <w:tcPr>
            <w:tcW w:w="2178" w:type="dxa"/>
          </w:tcPr>
          <w:p w:rsidR="00EE323F" w:rsidRPr="00BD3C00" w:rsidRDefault="00EE323F" w:rsidP="004C38AA">
            <w:pPr>
              <w:widowControl w:val="0"/>
              <w:autoSpaceDE w:val="0"/>
              <w:autoSpaceDN w:val="0"/>
              <w:adjustRightInd w:val="0"/>
              <w:rPr>
                <w:b/>
              </w:rPr>
            </w:pPr>
            <w:r w:rsidRPr="00BD3C00">
              <w:rPr>
                <w:b/>
              </w:rPr>
              <w:t>Maze Procedure</w:t>
            </w:r>
          </w:p>
        </w:tc>
        <w:tc>
          <w:tcPr>
            <w:tcW w:w="2250" w:type="dxa"/>
          </w:tcPr>
          <w:p w:rsidR="00EE323F" w:rsidRPr="00BD3C00" w:rsidRDefault="00EE323F" w:rsidP="004C38AA">
            <w:pPr>
              <w:widowControl w:val="0"/>
              <w:autoSpaceDE w:val="0"/>
              <w:autoSpaceDN w:val="0"/>
              <w:adjustRightInd w:val="0"/>
              <w:jc w:val="center"/>
            </w:pPr>
            <w:r w:rsidRPr="00BD3C00">
              <w:t>9</w:t>
            </w:r>
          </w:p>
          <w:p w:rsidR="00EE323F" w:rsidRPr="00BD3C00" w:rsidRDefault="00EE323F" w:rsidP="004C38AA">
            <w:pPr>
              <w:widowControl w:val="0"/>
              <w:autoSpaceDE w:val="0"/>
              <w:autoSpaceDN w:val="0"/>
              <w:adjustRightInd w:val="0"/>
              <w:jc w:val="center"/>
            </w:pPr>
            <w:r>
              <w:t>(34</w:t>
            </w:r>
            <w:r w:rsidRPr="00BD3C00">
              <w:t>%)</w:t>
            </w:r>
          </w:p>
        </w:tc>
        <w:tc>
          <w:tcPr>
            <w:tcW w:w="2340" w:type="dxa"/>
          </w:tcPr>
          <w:p w:rsidR="00EE323F" w:rsidRPr="00BD3C00" w:rsidRDefault="00EE323F" w:rsidP="004C38AA">
            <w:pPr>
              <w:widowControl w:val="0"/>
              <w:autoSpaceDE w:val="0"/>
              <w:autoSpaceDN w:val="0"/>
              <w:adjustRightInd w:val="0"/>
              <w:jc w:val="center"/>
            </w:pPr>
            <w:r w:rsidRPr="00BD3C00">
              <w:t>14</w:t>
            </w:r>
          </w:p>
          <w:p w:rsidR="00EE323F" w:rsidRPr="00BD3C00" w:rsidRDefault="00EE323F" w:rsidP="004C38AA">
            <w:pPr>
              <w:widowControl w:val="0"/>
              <w:autoSpaceDE w:val="0"/>
              <w:autoSpaceDN w:val="0"/>
              <w:adjustRightInd w:val="0"/>
              <w:jc w:val="center"/>
            </w:pPr>
            <w:r w:rsidRPr="00BD3C00">
              <w:t>(30%)</w:t>
            </w:r>
          </w:p>
        </w:tc>
        <w:tc>
          <w:tcPr>
            <w:tcW w:w="2790" w:type="dxa"/>
          </w:tcPr>
          <w:p w:rsidR="00EE323F" w:rsidRPr="00BD3C00" w:rsidRDefault="00EE323F" w:rsidP="004C38AA">
            <w:pPr>
              <w:widowControl w:val="0"/>
              <w:autoSpaceDE w:val="0"/>
              <w:autoSpaceDN w:val="0"/>
              <w:adjustRightInd w:val="0"/>
              <w:jc w:val="center"/>
            </w:pPr>
            <w:r>
              <w:t>χ</w:t>
            </w:r>
            <w:r w:rsidRPr="00322008">
              <w:rPr>
                <w:vertAlign w:val="superscript"/>
              </w:rPr>
              <w:t>2</w:t>
            </w:r>
            <w:r>
              <w:t>=</w:t>
            </w:r>
            <w:r w:rsidRPr="00BD3C00">
              <w:t>----, 0.7977</w:t>
            </w:r>
          </w:p>
        </w:tc>
      </w:tr>
      <w:tr w:rsidR="00EE323F" w:rsidTr="004C38AA">
        <w:tc>
          <w:tcPr>
            <w:tcW w:w="2178" w:type="dxa"/>
          </w:tcPr>
          <w:p w:rsidR="00EE323F" w:rsidRPr="000864AE" w:rsidRDefault="00EE323F" w:rsidP="004C38AA">
            <w:pPr>
              <w:widowControl w:val="0"/>
              <w:autoSpaceDE w:val="0"/>
              <w:autoSpaceDN w:val="0"/>
              <w:adjustRightInd w:val="0"/>
              <w:rPr>
                <w:b/>
              </w:rPr>
            </w:pPr>
            <w:r>
              <w:rPr>
                <w:b/>
              </w:rPr>
              <w:t>Beta</w:t>
            </w:r>
            <w:r w:rsidRPr="00BD3C00">
              <w:rPr>
                <w:b/>
              </w:rPr>
              <w:t xml:space="preserve"> Block</w:t>
            </w:r>
            <w:r>
              <w:rPr>
                <w:b/>
              </w:rPr>
              <w:t>er</w:t>
            </w:r>
          </w:p>
        </w:tc>
        <w:tc>
          <w:tcPr>
            <w:tcW w:w="2250" w:type="dxa"/>
          </w:tcPr>
          <w:p w:rsidR="00EE323F" w:rsidRPr="00BD3C00" w:rsidRDefault="00EE323F" w:rsidP="004C38AA">
            <w:pPr>
              <w:widowControl w:val="0"/>
              <w:autoSpaceDE w:val="0"/>
              <w:autoSpaceDN w:val="0"/>
              <w:adjustRightInd w:val="0"/>
              <w:jc w:val="center"/>
            </w:pPr>
            <w:r w:rsidRPr="00BD3C00">
              <w:t>13</w:t>
            </w:r>
          </w:p>
          <w:p w:rsidR="00EE323F" w:rsidRPr="00BD3C00" w:rsidRDefault="00EE323F" w:rsidP="004C38AA">
            <w:pPr>
              <w:widowControl w:val="0"/>
              <w:autoSpaceDE w:val="0"/>
              <w:autoSpaceDN w:val="0"/>
              <w:adjustRightInd w:val="0"/>
              <w:jc w:val="center"/>
            </w:pPr>
            <w:r w:rsidRPr="00BD3C00">
              <w:t>(48%)</w:t>
            </w:r>
          </w:p>
        </w:tc>
        <w:tc>
          <w:tcPr>
            <w:tcW w:w="2340" w:type="dxa"/>
          </w:tcPr>
          <w:p w:rsidR="00EE323F" w:rsidRPr="00BD3C00" w:rsidRDefault="00EE323F" w:rsidP="004C38AA">
            <w:pPr>
              <w:widowControl w:val="0"/>
              <w:autoSpaceDE w:val="0"/>
              <w:autoSpaceDN w:val="0"/>
              <w:adjustRightInd w:val="0"/>
              <w:jc w:val="center"/>
            </w:pPr>
            <w:r w:rsidRPr="00BD3C00">
              <w:t>19</w:t>
            </w:r>
          </w:p>
          <w:p w:rsidR="00EE323F" w:rsidRPr="00BD3C00" w:rsidRDefault="00EE323F" w:rsidP="004C38AA">
            <w:pPr>
              <w:widowControl w:val="0"/>
              <w:autoSpaceDE w:val="0"/>
              <w:autoSpaceDN w:val="0"/>
              <w:adjustRightInd w:val="0"/>
              <w:jc w:val="center"/>
            </w:pPr>
            <w:r w:rsidRPr="00BD3C00">
              <w:t>(41%)</w:t>
            </w:r>
          </w:p>
        </w:tc>
        <w:tc>
          <w:tcPr>
            <w:tcW w:w="2790" w:type="dxa"/>
          </w:tcPr>
          <w:p w:rsidR="00EE323F" w:rsidRPr="00BD3C00" w:rsidRDefault="00EE323F" w:rsidP="004C38AA">
            <w:pPr>
              <w:widowControl w:val="0"/>
              <w:autoSpaceDE w:val="0"/>
              <w:autoSpaceDN w:val="0"/>
              <w:adjustRightInd w:val="0"/>
              <w:jc w:val="center"/>
            </w:pPr>
            <w:r>
              <w:t>χ</w:t>
            </w:r>
            <w:r w:rsidRPr="00322008">
              <w:rPr>
                <w:vertAlign w:val="superscript"/>
              </w:rPr>
              <w:t>2</w:t>
            </w:r>
            <w:r>
              <w:t>=0</w:t>
            </w:r>
            <w:r w:rsidRPr="00BD3C00">
              <w:t>.3237, 0.5694</w:t>
            </w:r>
          </w:p>
        </w:tc>
      </w:tr>
      <w:tr w:rsidR="00EE323F" w:rsidTr="004C38AA">
        <w:tc>
          <w:tcPr>
            <w:tcW w:w="2178" w:type="dxa"/>
          </w:tcPr>
          <w:p w:rsidR="00EE323F" w:rsidRPr="00BD3C00" w:rsidRDefault="00EE323F" w:rsidP="004C38AA">
            <w:pPr>
              <w:widowControl w:val="0"/>
              <w:autoSpaceDE w:val="0"/>
              <w:autoSpaceDN w:val="0"/>
              <w:adjustRightInd w:val="0"/>
              <w:rPr>
                <w:b/>
              </w:rPr>
            </w:pPr>
            <w:r w:rsidRPr="00BD3C00">
              <w:rPr>
                <w:b/>
              </w:rPr>
              <w:t>Digitalis</w:t>
            </w:r>
          </w:p>
        </w:tc>
        <w:tc>
          <w:tcPr>
            <w:tcW w:w="2250" w:type="dxa"/>
          </w:tcPr>
          <w:p w:rsidR="00EE323F" w:rsidRPr="00BD3C00" w:rsidRDefault="00EE323F" w:rsidP="004C38AA">
            <w:pPr>
              <w:widowControl w:val="0"/>
              <w:autoSpaceDE w:val="0"/>
              <w:autoSpaceDN w:val="0"/>
              <w:adjustRightInd w:val="0"/>
              <w:jc w:val="center"/>
            </w:pPr>
            <w:r w:rsidRPr="00BD3C00">
              <w:t>7</w:t>
            </w:r>
          </w:p>
          <w:p w:rsidR="00EE323F" w:rsidRPr="00BD3C00" w:rsidRDefault="00EE323F" w:rsidP="004C38AA">
            <w:pPr>
              <w:widowControl w:val="0"/>
              <w:autoSpaceDE w:val="0"/>
              <w:autoSpaceDN w:val="0"/>
              <w:adjustRightInd w:val="0"/>
              <w:jc w:val="center"/>
            </w:pPr>
            <w:r w:rsidRPr="00BD3C00">
              <w:t>(26%)</w:t>
            </w:r>
          </w:p>
        </w:tc>
        <w:tc>
          <w:tcPr>
            <w:tcW w:w="2340" w:type="dxa"/>
          </w:tcPr>
          <w:p w:rsidR="00EE323F" w:rsidRPr="00BD3C00" w:rsidRDefault="00EE323F" w:rsidP="004C38AA">
            <w:pPr>
              <w:widowControl w:val="0"/>
              <w:autoSpaceDE w:val="0"/>
              <w:autoSpaceDN w:val="0"/>
              <w:adjustRightInd w:val="0"/>
              <w:jc w:val="center"/>
            </w:pPr>
            <w:r w:rsidRPr="00BD3C00">
              <w:t>7</w:t>
            </w:r>
          </w:p>
          <w:p w:rsidR="00EE323F" w:rsidRPr="00BD3C00" w:rsidRDefault="00EE323F" w:rsidP="004C38AA">
            <w:pPr>
              <w:widowControl w:val="0"/>
              <w:autoSpaceDE w:val="0"/>
              <w:autoSpaceDN w:val="0"/>
              <w:adjustRightInd w:val="0"/>
              <w:jc w:val="center"/>
            </w:pPr>
            <w:r w:rsidRPr="00BD3C00">
              <w:t>(15%)</w:t>
            </w:r>
          </w:p>
        </w:tc>
        <w:tc>
          <w:tcPr>
            <w:tcW w:w="2790" w:type="dxa"/>
          </w:tcPr>
          <w:p w:rsidR="00EE323F" w:rsidRPr="00BD3C00" w:rsidRDefault="00EE323F" w:rsidP="004C38AA">
            <w:pPr>
              <w:widowControl w:val="0"/>
              <w:autoSpaceDE w:val="0"/>
              <w:autoSpaceDN w:val="0"/>
              <w:adjustRightInd w:val="0"/>
              <w:jc w:val="center"/>
            </w:pPr>
            <w:r>
              <w:t>χ</w:t>
            </w:r>
            <w:r w:rsidRPr="00322008">
              <w:rPr>
                <w:vertAlign w:val="superscript"/>
              </w:rPr>
              <w:t>2</w:t>
            </w:r>
            <w:r>
              <w:t>=</w:t>
            </w:r>
            <w:r w:rsidRPr="00BD3C00">
              <w:t>-----, 0.3570</w:t>
            </w:r>
          </w:p>
        </w:tc>
      </w:tr>
      <w:tr w:rsidR="00EE323F" w:rsidTr="004C38AA">
        <w:tc>
          <w:tcPr>
            <w:tcW w:w="2178" w:type="dxa"/>
          </w:tcPr>
          <w:p w:rsidR="00EE323F" w:rsidRPr="000864AE" w:rsidRDefault="00EE323F" w:rsidP="004C38AA">
            <w:pPr>
              <w:widowControl w:val="0"/>
              <w:autoSpaceDE w:val="0"/>
              <w:autoSpaceDN w:val="0"/>
              <w:adjustRightInd w:val="0"/>
              <w:rPr>
                <w:b/>
              </w:rPr>
            </w:pPr>
            <w:r w:rsidRPr="000864AE">
              <w:rPr>
                <w:b/>
              </w:rPr>
              <w:t xml:space="preserve">QRS length in </w:t>
            </w:r>
            <w:proofErr w:type="spellStart"/>
            <w:r w:rsidRPr="000864AE">
              <w:rPr>
                <w:b/>
              </w:rPr>
              <w:t>msec</w:t>
            </w:r>
            <w:proofErr w:type="spellEnd"/>
          </w:p>
        </w:tc>
        <w:tc>
          <w:tcPr>
            <w:tcW w:w="2250" w:type="dxa"/>
          </w:tcPr>
          <w:p w:rsidR="00EE323F" w:rsidRPr="002D140C" w:rsidRDefault="00EE323F" w:rsidP="004C38AA">
            <w:pPr>
              <w:widowControl w:val="0"/>
              <w:autoSpaceDE w:val="0"/>
              <w:autoSpaceDN w:val="0"/>
              <w:adjustRightInd w:val="0"/>
              <w:jc w:val="center"/>
            </w:pPr>
            <w:r w:rsidRPr="002D140C">
              <w:t>X=152. 4</w:t>
            </w:r>
          </w:p>
          <w:p w:rsidR="00EE323F" w:rsidRPr="002D140C" w:rsidRDefault="00EE323F" w:rsidP="004C38AA">
            <w:pPr>
              <w:widowControl w:val="0"/>
              <w:autoSpaceDE w:val="0"/>
              <w:autoSpaceDN w:val="0"/>
              <w:adjustRightInd w:val="0"/>
              <w:jc w:val="center"/>
            </w:pPr>
            <w:r w:rsidRPr="002D140C">
              <w:t>(90-234)</w:t>
            </w:r>
          </w:p>
        </w:tc>
        <w:tc>
          <w:tcPr>
            <w:tcW w:w="2340" w:type="dxa"/>
          </w:tcPr>
          <w:p w:rsidR="00EE323F" w:rsidRPr="002D140C" w:rsidRDefault="00EE323F" w:rsidP="004C38AA">
            <w:pPr>
              <w:widowControl w:val="0"/>
              <w:autoSpaceDE w:val="0"/>
              <w:autoSpaceDN w:val="0"/>
              <w:adjustRightInd w:val="0"/>
              <w:jc w:val="center"/>
            </w:pPr>
            <w:r w:rsidRPr="002D140C">
              <w:t>X=136.3</w:t>
            </w:r>
          </w:p>
          <w:p w:rsidR="00EE323F" w:rsidRPr="002D140C" w:rsidRDefault="00EE323F" w:rsidP="004C38AA">
            <w:pPr>
              <w:widowControl w:val="0"/>
              <w:autoSpaceDE w:val="0"/>
              <w:autoSpaceDN w:val="0"/>
              <w:adjustRightInd w:val="0"/>
              <w:jc w:val="center"/>
            </w:pPr>
            <w:r w:rsidRPr="002D140C">
              <w:t>(70-214)</w:t>
            </w:r>
          </w:p>
        </w:tc>
        <w:tc>
          <w:tcPr>
            <w:tcW w:w="2790" w:type="dxa"/>
          </w:tcPr>
          <w:p w:rsidR="00EE323F" w:rsidRPr="002D140C" w:rsidRDefault="00EE323F" w:rsidP="004C38AA">
            <w:pPr>
              <w:widowControl w:val="0"/>
              <w:autoSpaceDE w:val="0"/>
              <w:autoSpaceDN w:val="0"/>
              <w:adjustRightInd w:val="0"/>
              <w:jc w:val="center"/>
            </w:pPr>
            <w:r w:rsidRPr="00552E8F">
              <w:t>t=</w:t>
            </w:r>
            <w:r w:rsidRPr="002D140C">
              <w:t>-2.09, 0.0396</w:t>
            </w:r>
          </w:p>
        </w:tc>
      </w:tr>
      <w:tr w:rsidR="00EE323F" w:rsidTr="004C38AA">
        <w:tc>
          <w:tcPr>
            <w:tcW w:w="2178" w:type="dxa"/>
          </w:tcPr>
          <w:p w:rsidR="00EE323F" w:rsidRPr="00BD3C00" w:rsidRDefault="00EE323F" w:rsidP="004C38AA">
            <w:pPr>
              <w:widowControl w:val="0"/>
              <w:autoSpaceDE w:val="0"/>
              <w:autoSpaceDN w:val="0"/>
              <w:adjustRightInd w:val="0"/>
              <w:rPr>
                <w:b/>
              </w:rPr>
            </w:pPr>
            <w:r w:rsidRPr="00BD3C00">
              <w:rPr>
                <w:b/>
              </w:rPr>
              <w:t>RBBB</w:t>
            </w:r>
          </w:p>
        </w:tc>
        <w:tc>
          <w:tcPr>
            <w:tcW w:w="2250" w:type="dxa"/>
          </w:tcPr>
          <w:p w:rsidR="00EE323F" w:rsidRPr="00BD3C00" w:rsidRDefault="00EE323F" w:rsidP="004C38AA">
            <w:pPr>
              <w:widowControl w:val="0"/>
              <w:autoSpaceDE w:val="0"/>
              <w:autoSpaceDN w:val="0"/>
              <w:adjustRightInd w:val="0"/>
              <w:jc w:val="center"/>
            </w:pPr>
            <w:r w:rsidRPr="00BD3C00">
              <w:t>15</w:t>
            </w:r>
          </w:p>
          <w:p w:rsidR="00EE323F" w:rsidRPr="00BD3C00" w:rsidRDefault="00EE323F" w:rsidP="004C38AA">
            <w:pPr>
              <w:widowControl w:val="0"/>
              <w:autoSpaceDE w:val="0"/>
              <w:autoSpaceDN w:val="0"/>
              <w:adjustRightInd w:val="0"/>
              <w:jc w:val="center"/>
            </w:pPr>
            <w:r>
              <w:t>(</w:t>
            </w:r>
            <w:r w:rsidRPr="00BD3C00">
              <w:t>6</w:t>
            </w:r>
            <w:r>
              <w:t>1</w:t>
            </w:r>
            <w:r w:rsidRPr="00BD3C00">
              <w:t>%)</w:t>
            </w:r>
          </w:p>
        </w:tc>
        <w:tc>
          <w:tcPr>
            <w:tcW w:w="2340" w:type="dxa"/>
          </w:tcPr>
          <w:p w:rsidR="00EE323F" w:rsidRPr="00BD3C00" w:rsidRDefault="00EE323F" w:rsidP="004C38AA">
            <w:pPr>
              <w:widowControl w:val="0"/>
              <w:autoSpaceDE w:val="0"/>
              <w:autoSpaceDN w:val="0"/>
              <w:adjustRightInd w:val="0"/>
              <w:jc w:val="center"/>
            </w:pPr>
            <w:r w:rsidRPr="00BD3C00">
              <w:t>31</w:t>
            </w:r>
          </w:p>
          <w:p w:rsidR="00EE323F" w:rsidRPr="00BD3C00" w:rsidRDefault="00EE323F" w:rsidP="004C38AA">
            <w:pPr>
              <w:widowControl w:val="0"/>
              <w:autoSpaceDE w:val="0"/>
              <w:autoSpaceDN w:val="0"/>
              <w:adjustRightInd w:val="0"/>
              <w:jc w:val="center"/>
            </w:pPr>
            <w:r w:rsidRPr="00BD3C00">
              <w:t>(66%)</w:t>
            </w:r>
          </w:p>
        </w:tc>
        <w:tc>
          <w:tcPr>
            <w:tcW w:w="2790" w:type="dxa"/>
          </w:tcPr>
          <w:p w:rsidR="00EE323F" w:rsidRPr="00BD3C00" w:rsidRDefault="00EE323F" w:rsidP="004C38AA">
            <w:pPr>
              <w:widowControl w:val="0"/>
              <w:autoSpaceDE w:val="0"/>
              <w:autoSpaceDN w:val="0"/>
              <w:adjustRightInd w:val="0"/>
              <w:jc w:val="center"/>
            </w:pPr>
            <w:r>
              <w:t>χ</w:t>
            </w:r>
            <w:r w:rsidRPr="00322008">
              <w:rPr>
                <w:vertAlign w:val="superscript"/>
              </w:rPr>
              <w:t>2</w:t>
            </w:r>
            <w:r>
              <w:t>=</w:t>
            </w:r>
            <w:r w:rsidRPr="00BD3C00">
              <w:t>0.7889, 0.3744</w:t>
            </w:r>
          </w:p>
        </w:tc>
      </w:tr>
      <w:tr w:rsidR="00EE323F" w:rsidTr="004C38AA">
        <w:tc>
          <w:tcPr>
            <w:tcW w:w="2178" w:type="dxa"/>
          </w:tcPr>
          <w:p w:rsidR="00EE323F" w:rsidRPr="00BD3C00" w:rsidRDefault="00EE323F" w:rsidP="004C38AA">
            <w:pPr>
              <w:widowControl w:val="0"/>
              <w:autoSpaceDE w:val="0"/>
              <w:autoSpaceDN w:val="0"/>
              <w:adjustRightInd w:val="0"/>
              <w:rPr>
                <w:b/>
              </w:rPr>
            </w:pPr>
            <w:r w:rsidRPr="00BD3C00">
              <w:rPr>
                <w:b/>
              </w:rPr>
              <w:t>Pacemaker</w:t>
            </w:r>
          </w:p>
        </w:tc>
        <w:tc>
          <w:tcPr>
            <w:tcW w:w="2250" w:type="dxa"/>
          </w:tcPr>
          <w:p w:rsidR="00EE323F" w:rsidRPr="00BD3C00" w:rsidRDefault="00EE323F" w:rsidP="004C38AA">
            <w:pPr>
              <w:widowControl w:val="0"/>
              <w:autoSpaceDE w:val="0"/>
              <w:autoSpaceDN w:val="0"/>
              <w:adjustRightInd w:val="0"/>
              <w:jc w:val="center"/>
            </w:pPr>
            <w:r w:rsidRPr="00BD3C00">
              <w:t>4</w:t>
            </w:r>
          </w:p>
          <w:p w:rsidR="00EE323F" w:rsidRPr="00BD3C00" w:rsidRDefault="00EE323F" w:rsidP="004C38AA">
            <w:pPr>
              <w:widowControl w:val="0"/>
              <w:autoSpaceDE w:val="0"/>
              <w:autoSpaceDN w:val="0"/>
              <w:adjustRightInd w:val="0"/>
              <w:jc w:val="center"/>
            </w:pPr>
            <w:r w:rsidRPr="00BD3C00">
              <w:t>(15%)</w:t>
            </w:r>
          </w:p>
        </w:tc>
        <w:tc>
          <w:tcPr>
            <w:tcW w:w="2340" w:type="dxa"/>
          </w:tcPr>
          <w:p w:rsidR="00EE323F" w:rsidRPr="00BD3C00" w:rsidRDefault="00EE323F" w:rsidP="004C38AA">
            <w:pPr>
              <w:widowControl w:val="0"/>
              <w:autoSpaceDE w:val="0"/>
              <w:autoSpaceDN w:val="0"/>
              <w:adjustRightInd w:val="0"/>
              <w:jc w:val="center"/>
            </w:pPr>
            <w:r w:rsidRPr="00BD3C00">
              <w:t>6</w:t>
            </w:r>
          </w:p>
          <w:p w:rsidR="00EE323F" w:rsidRPr="00BD3C00" w:rsidRDefault="00EE323F" w:rsidP="004C38AA">
            <w:pPr>
              <w:widowControl w:val="0"/>
              <w:autoSpaceDE w:val="0"/>
              <w:autoSpaceDN w:val="0"/>
              <w:adjustRightInd w:val="0"/>
              <w:jc w:val="center"/>
            </w:pPr>
            <w:r w:rsidRPr="00BD3C00">
              <w:t>(13%)</w:t>
            </w:r>
          </w:p>
        </w:tc>
        <w:tc>
          <w:tcPr>
            <w:tcW w:w="2790" w:type="dxa"/>
          </w:tcPr>
          <w:p w:rsidR="00EE323F" w:rsidRPr="00BD3C00" w:rsidRDefault="00EE323F" w:rsidP="004C38AA">
            <w:pPr>
              <w:widowControl w:val="0"/>
              <w:autoSpaceDE w:val="0"/>
              <w:autoSpaceDN w:val="0"/>
              <w:adjustRightInd w:val="0"/>
              <w:jc w:val="center"/>
            </w:pPr>
            <w:r>
              <w:t>χ</w:t>
            </w:r>
            <w:r w:rsidRPr="00322008">
              <w:rPr>
                <w:vertAlign w:val="superscript"/>
              </w:rPr>
              <w:t>2</w:t>
            </w:r>
            <w:r>
              <w:t>=</w:t>
            </w:r>
            <w:r w:rsidRPr="00BD3C00">
              <w:t>----, 1.0</w:t>
            </w:r>
          </w:p>
        </w:tc>
      </w:tr>
      <w:tr w:rsidR="00EE323F" w:rsidTr="004C38AA">
        <w:trPr>
          <w:trHeight w:val="413"/>
        </w:trPr>
        <w:tc>
          <w:tcPr>
            <w:tcW w:w="2178" w:type="dxa"/>
          </w:tcPr>
          <w:p w:rsidR="00EE323F" w:rsidRPr="00BD3C00" w:rsidRDefault="00EE323F" w:rsidP="004C38AA">
            <w:pPr>
              <w:widowControl w:val="0"/>
              <w:autoSpaceDE w:val="0"/>
              <w:autoSpaceDN w:val="0"/>
              <w:adjustRightInd w:val="0"/>
              <w:rPr>
                <w:b/>
              </w:rPr>
            </w:pPr>
            <w:r w:rsidRPr="00BD3C00">
              <w:rPr>
                <w:b/>
              </w:rPr>
              <w:t>Catheter ablation</w:t>
            </w:r>
          </w:p>
        </w:tc>
        <w:tc>
          <w:tcPr>
            <w:tcW w:w="2250" w:type="dxa"/>
          </w:tcPr>
          <w:p w:rsidR="00EE323F" w:rsidRPr="00BD3C00" w:rsidRDefault="00EE323F" w:rsidP="004C38AA">
            <w:pPr>
              <w:widowControl w:val="0"/>
              <w:autoSpaceDE w:val="0"/>
              <w:autoSpaceDN w:val="0"/>
              <w:adjustRightInd w:val="0"/>
              <w:jc w:val="center"/>
            </w:pPr>
            <w:r w:rsidRPr="00BD3C00">
              <w:t>3</w:t>
            </w:r>
          </w:p>
          <w:p w:rsidR="00EE323F" w:rsidRPr="00BD3C00" w:rsidRDefault="00EE323F" w:rsidP="004C38AA">
            <w:pPr>
              <w:widowControl w:val="0"/>
              <w:autoSpaceDE w:val="0"/>
              <w:autoSpaceDN w:val="0"/>
              <w:adjustRightInd w:val="0"/>
              <w:jc w:val="center"/>
            </w:pPr>
            <w:r w:rsidRPr="00BD3C00">
              <w:t>(11%)</w:t>
            </w:r>
          </w:p>
        </w:tc>
        <w:tc>
          <w:tcPr>
            <w:tcW w:w="2340" w:type="dxa"/>
          </w:tcPr>
          <w:p w:rsidR="00EE323F" w:rsidRPr="00BD3C00" w:rsidRDefault="00EE323F" w:rsidP="004C38AA">
            <w:pPr>
              <w:widowControl w:val="0"/>
              <w:autoSpaceDE w:val="0"/>
              <w:autoSpaceDN w:val="0"/>
              <w:adjustRightInd w:val="0"/>
              <w:jc w:val="center"/>
            </w:pPr>
            <w:r w:rsidRPr="00BD3C00">
              <w:t>8</w:t>
            </w:r>
          </w:p>
          <w:p w:rsidR="00EE323F" w:rsidRPr="00BD3C00" w:rsidRDefault="00EE323F" w:rsidP="004C38AA">
            <w:pPr>
              <w:widowControl w:val="0"/>
              <w:autoSpaceDE w:val="0"/>
              <w:autoSpaceDN w:val="0"/>
              <w:adjustRightInd w:val="0"/>
              <w:jc w:val="center"/>
            </w:pPr>
            <w:r w:rsidRPr="00BD3C00">
              <w:t>(18%)</w:t>
            </w:r>
          </w:p>
        </w:tc>
        <w:tc>
          <w:tcPr>
            <w:tcW w:w="2790" w:type="dxa"/>
          </w:tcPr>
          <w:p w:rsidR="00EE323F" w:rsidRPr="00BD3C00" w:rsidRDefault="00EE323F" w:rsidP="004C38AA">
            <w:pPr>
              <w:widowControl w:val="0"/>
              <w:autoSpaceDE w:val="0"/>
              <w:autoSpaceDN w:val="0"/>
              <w:adjustRightInd w:val="0"/>
              <w:jc w:val="center"/>
            </w:pPr>
            <w:r>
              <w:t>χ</w:t>
            </w:r>
            <w:r w:rsidRPr="00322008">
              <w:rPr>
                <w:vertAlign w:val="superscript"/>
              </w:rPr>
              <w:t>2</w:t>
            </w:r>
            <w:r>
              <w:t>=</w:t>
            </w:r>
            <w:r w:rsidRPr="00BD3C00">
              <w:t>----, 0.7360</w:t>
            </w:r>
          </w:p>
        </w:tc>
      </w:tr>
      <w:tr w:rsidR="00EE323F" w:rsidTr="004C38AA">
        <w:tc>
          <w:tcPr>
            <w:tcW w:w="2178" w:type="dxa"/>
          </w:tcPr>
          <w:p w:rsidR="00EE323F" w:rsidRPr="00BD3C00" w:rsidRDefault="00EE323F" w:rsidP="004C38AA">
            <w:pPr>
              <w:widowControl w:val="0"/>
              <w:autoSpaceDE w:val="0"/>
              <w:autoSpaceDN w:val="0"/>
              <w:adjustRightInd w:val="0"/>
              <w:rPr>
                <w:b/>
              </w:rPr>
            </w:pPr>
            <w:r>
              <w:rPr>
                <w:b/>
              </w:rPr>
              <w:t>Symptom-limited</w:t>
            </w:r>
          </w:p>
        </w:tc>
        <w:tc>
          <w:tcPr>
            <w:tcW w:w="2250" w:type="dxa"/>
          </w:tcPr>
          <w:p w:rsidR="00EE323F" w:rsidRPr="00BD3C00" w:rsidRDefault="00EE323F" w:rsidP="004C38AA">
            <w:pPr>
              <w:widowControl w:val="0"/>
              <w:autoSpaceDE w:val="0"/>
              <w:autoSpaceDN w:val="0"/>
              <w:adjustRightInd w:val="0"/>
              <w:jc w:val="center"/>
            </w:pPr>
            <w:r w:rsidRPr="00BD3C00">
              <w:t>26</w:t>
            </w:r>
          </w:p>
          <w:p w:rsidR="00EE323F" w:rsidRPr="00BD3C00" w:rsidRDefault="00EE323F" w:rsidP="004C38AA">
            <w:pPr>
              <w:widowControl w:val="0"/>
              <w:autoSpaceDE w:val="0"/>
              <w:autoSpaceDN w:val="0"/>
              <w:adjustRightInd w:val="0"/>
              <w:jc w:val="center"/>
            </w:pPr>
            <w:r>
              <w:t>(100</w:t>
            </w:r>
            <w:r w:rsidRPr="00BD3C00">
              <w:t>%)</w:t>
            </w:r>
          </w:p>
        </w:tc>
        <w:tc>
          <w:tcPr>
            <w:tcW w:w="2340" w:type="dxa"/>
          </w:tcPr>
          <w:p w:rsidR="00EE323F" w:rsidRPr="00BD3C00" w:rsidRDefault="00EE323F" w:rsidP="004C38AA">
            <w:pPr>
              <w:widowControl w:val="0"/>
              <w:autoSpaceDE w:val="0"/>
              <w:autoSpaceDN w:val="0"/>
              <w:adjustRightInd w:val="0"/>
              <w:jc w:val="center"/>
            </w:pPr>
            <w:r w:rsidRPr="00BD3C00">
              <w:t>44</w:t>
            </w:r>
          </w:p>
          <w:p w:rsidR="00EE323F" w:rsidRPr="00BD3C00" w:rsidRDefault="00EE323F" w:rsidP="004C38AA">
            <w:pPr>
              <w:widowControl w:val="0"/>
              <w:autoSpaceDE w:val="0"/>
              <w:autoSpaceDN w:val="0"/>
              <w:adjustRightInd w:val="0"/>
              <w:jc w:val="center"/>
            </w:pPr>
            <w:r w:rsidRPr="00BD3C00">
              <w:t>(96%)</w:t>
            </w:r>
          </w:p>
        </w:tc>
        <w:tc>
          <w:tcPr>
            <w:tcW w:w="2790" w:type="dxa"/>
          </w:tcPr>
          <w:p w:rsidR="00EE323F" w:rsidRPr="00BD3C00" w:rsidRDefault="00EE323F" w:rsidP="004C38AA">
            <w:pPr>
              <w:widowControl w:val="0"/>
              <w:autoSpaceDE w:val="0"/>
              <w:autoSpaceDN w:val="0"/>
              <w:adjustRightInd w:val="0"/>
              <w:jc w:val="center"/>
            </w:pPr>
            <w:r>
              <w:t>χ</w:t>
            </w:r>
            <w:r w:rsidRPr="00322008">
              <w:rPr>
                <w:vertAlign w:val="superscript"/>
              </w:rPr>
              <w:t>2</w:t>
            </w:r>
            <w:r>
              <w:t>=0</w:t>
            </w:r>
            <w:r w:rsidRPr="00BD3C00">
              <w:t>.0179, 0.8935</w:t>
            </w:r>
          </w:p>
        </w:tc>
      </w:tr>
      <w:tr w:rsidR="00EE323F" w:rsidTr="004C38AA">
        <w:tc>
          <w:tcPr>
            <w:tcW w:w="2178" w:type="dxa"/>
          </w:tcPr>
          <w:p w:rsidR="00EE323F" w:rsidRPr="000864AE" w:rsidRDefault="00EE323F" w:rsidP="004C38AA">
            <w:pPr>
              <w:widowControl w:val="0"/>
              <w:autoSpaceDE w:val="0"/>
              <w:autoSpaceDN w:val="0"/>
              <w:adjustRightInd w:val="0"/>
              <w:rPr>
                <w:b/>
              </w:rPr>
            </w:pPr>
            <w:r>
              <w:rPr>
                <w:b/>
              </w:rPr>
              <w:t xml:space="preserve">VO2 peak </w:t>
            </w:r>
            <w:r w:rsidRPr="000864AE">
              <w:rPr>
                <w:b/>
              </w:rPr>
              <w:t>ml/kg/min</w:t>
            </w:r>
          </w:p>
        </w:tc>
        <w:tc>
          <w:tcPr>
            <w:tcW w:w="2250" w:type="dxa"/>
          </w:tcPr>
          <w:p w:rsidR="00EE323F" w:rsidRPr="002D140C" w:rsidRDefault="00EE323F" w:rsidP="004C38AA">
            <w:pPr>
              <w:widowControl w:val="0"/>
              <w:autoSpaceDE w:val="0"/>
              <w:autoSpaceDN w:val="0"/>
              <w:adjustRightInd w:val="0"/>
              <w:jc w:val="center"/>
            </w:pPr>
            <w:r w:rsidRPr="002D140C">
              <w:t>X=19.53</w:t>
            </w:r>
          </w:p>
          <w:p w:rsidR="00EE323F" w:rsidRPr="002D140C" w:rsidRDefault="00EE323F" w:rsidP="004C38AA">
            <w:pPr>
              <w:widowControl w:val="0"/>
              <w:autoSpaceDE w:val="0"/>
              <w:autoSpaceDN w:val="0"/>
              <w:adjustRightInd w:val="0"/>
              <w:jc w:val="center"/>
            </w:pPr>
            <w:r w:rsidRPr="002D140C">
              <w:t>(10.8-29.10)</w:t>
            </w:r>
          </w:p>
        </w:tc>
        <w:tc>
          <w:tcPr>
            <w:tcW w:w="2340" w:type="dxa"/>
          </w:tcPr>
          <w:p w:rsidR="00EE323F" w:rsidRPr="002D140C" w:rsidRDefault="00EE323F" w:rsidP="004C38AA">
            <w:pPr>
              <w:widowControl w:val="0"/>
              <w:autoSpaceDE w:val="0"/>
              <w:autoSpaceDN w:val="0"/>
              <w:adjustRightInd w:val="0"/>
              <w:jc w:val="center"/>
            </w:pPr>
            <w:r w:rsidRPr="002D140C">
              <w:t>X=20.87</w:t>
            </w:r>
          </w:p>
          <w:p w:rsidR="00EE323F" w:rsidRPr="002D140C" w:rsidRDefault="00EE323F" w:rsidP="004C38AA">
            <w:pPr>
              <w:widowControl w:val="0"/>
              <w:autoSpaceDE w:val="0"/>
              <w:autoSpaceDN w:val="0"/>
              <w:adjustRightInd w:val="0"/>
              <w:jc w:val="center"/>
            </w:pPr>
            <w:r w:rsidRPr="002D140C">
              <w:t>(5.4-44.4)</w:t>
            </w:r>
          </w:p>
        </w:tc>
        <w:tc>
          <w:tcPr>
            <w:tcW w:w="2790" w:type="dxa"/>
          </w:tcPr>
          <w:p w:rsidR="00EE323F" w:rsidRPr="002D140C" w:rsidRDefault="00EE323F" w:rsidP="004C38AA">
            <w:pPr>
              <w:widowControl w:val="0"/>
              <w:autoSpaceDE w:val="0"/>
              <w:autoSpaceDN w:val="0"/>
              <w:adjustRightInd w:val="0"/>
              <w:jc w:val="center"/>
            </w:pPr>
            <w:r w:rsidRPr="00552E8F">
              <w:t>t=</w:t>
            </w:r>
            <w:r>
              <w:rPr>
                <w:b/>
              </w:rPr>
              <w:t xml:space="preserve"> </w:t>
            </w:r>
            <w:r w:rsidRPr="002D140C">
              <w:t>0.93,  0.3572</w:t>
            </w:r>
          </w:p>
        </w:tc>
      </w:tr>
      <w:tr w:rsidR="00EE323F" w:rsidTr="004C38AA">
        <w:tc>
          <w:tcPr>
            <w:tcW w:w="2178" w:type="dxa"/>
          </w:tcPr>
          <w:p w:rsidR="00EE323F" w:rsidRPr="001B0870" w:rsidRDefault="00EE323F" w:rsidP="004C38AA">
            <w:pPr>
              <w:widowControl w:val="0"/>
              <w:autoSpaceDE w:val="0"/>
              <w:autoSpaceDN w:val="0"/>
              <w:adjustRightInd w:val="0"/>
              <w:rPr>
                <w:b/>
              </w:rPr>
            </w:pPr>
            <w:r w:rsidRPr="001B0870">
              <w:rPr>
                <w:b/>
              </w:rPr>
              <w:t>% Predicted VO2 peak</w:t>
            </w:r>
          </w:p>
        </w:tc>
        <w:tc>
          <w:tcPr>
            <w:tcW w:w="2250" w:type="dxa"/>
          </w:tcPr>
          <w:p w:rsidR="00EE323F" w:rsidRPr="002D140C" w:rsidRDefault="00EE323F" w:rsidP="004C38AA">
            <w:pPr>
              <w:widowControl w:val="0"/>
              <w:autoSpaceDE w:val="0"/>
              <w:autoSpaceDN w:val="0"/>
              <w:adjustRightInd w:val="0"/>
              <w:jc w:val="center"/>
            </w:pPr>
            <w:r w:rsidRPr="002D140C">
              <w:t>X=58.96</w:t>
            </w:r>
          </w:p>
          <w:p w:rsidR="00EE323F" w:rsidRPr="002D140C" w:rsidRDefault="00EE323F" w:rsidP="004C38AA">
            <w:pPr>
              <w:widowControl w:val="0"/>
              <w:autoSpaceDE w:val="0"/>
              <w:autoSpaceDN w:val="0"/>
              <w:adjustRightInd w:val="0"/>
              <w:jc w:val="center"/>
            </w:pPr>
            <w:r w:rsidRPr="002D140C">
              <w:t>(32-79%)</w:t>
            </w:r>
          </w:p>
        </w:tc>
        <w:tc>
          <w:tcPr>
            <w:tcW w:w="2340" w:type="dxa"/>
          </w:tcPr>
          <w:p w:rsidR="00EE323F" w:rsidRPr="002D140C" w:rsidRDefault="00EE323F" w:rsidP="004C38AA">
            <w:pPr>
              <w:widowControl w:val="0"/>
              <w:autoSpaceDE w:val="0"/>
              <w:autoSpaceDN w:val="0"/>
              <w:adjustRightInd w:val="0"/>
              <w:jc w:val="center"/>
            </w:pPr>
            <w:r w:rsidRPr="002D140C">
              <w:t>X=67.5</w:t>
            </w:r>
          </w:p>
          <w:p w:rsidR="00EE323F" w:rsidRPr="002D140C" w:rsidRDefault="00EE323F" w:rsidP="004C38AA">
            <w:pPr>
              <w:widowControl w:val="0"/>
              <w:autoSpaceDE w:val="0"/>
              <w:autoSpaceDN w:val="0"/>
              <w:adjustRightInd w:val="0"/>
              <w:jc w:val="center"/>
            </w:pPr>
            <w:r w:rsidRPr="002D140C">
              <w:t>(17-117%)</w:t>
            </w:r>
          </w:p>
        </w:tc>
        <w:tc>
          <w:tcPr>
            <w:tcW w:w="2790" w:type="dxa"/>
          </w:tcPr>
          <w:p w:rsidR="00EE323F" w:rsidRPr="001B0870" w:rsidRDefault="00EE323F" w:rsidP="004C38AA">
            <w:pPr>
              <w:widowControl w:val="0"/>
              <w:autoSpaceDE w:val="0"/>
              <w:autoSpaceDN w:val="0"/>
              <w:adjustRightInd w:val="0"/>
              <w:jc w:val="center"/>
              <w:rPr>
                <w:b/>
              </w:rPr>
            </w:pPr>
            <w:r w:rsidRPr="00552E8F">
              <w:t>t=</w:t>
            </w:r>
            <w:r w:rsidRPr="001B0870">
              <w:rPr>
                <w:b/>
              </w:rPr>
              <w:t>2.05,  0.0437</w:t>
            </w:r>
          </w:p>
        </w:tc>
      </w:tr>
      <w:tr w:rsidR="00EE323F" w:rsidTr="004C38AA">
        <w:tc>
          <w:tcPr>
            <w:tcW w:w="2178" w:type="dxa"/>
          </w:tcPr>
          <w:p w:rsidR="00EE323F" w:rsidRPr="00BD3C00" w:rsidRDefault="00EE323F" w:rsidP="004C38AA">
            <w:pPr>
              <w:widowControl w:val="0"/>
              <w:autoSpaceDE w:val="0"/>
              <w:autoSpaceDN w:val="0"/>
              <w:adjustRightInd w:val="0"/>
              <w:rPr>
                <w:b/>
              </w:rPr>
            </w:pPr>
            <w:r w:rsidRPr="00BD3C00">
              <w:rPr>
                <w:b/>
              </w:rPr>
              <w:t>Predicted VO2 Peak &lt;60%</w:t>
            </w:r>
          </w:p>
        </w:tc>
        <w:tc>
          <w:tcPr>
            <w:tcW w:w="2250" w:type="dxa"/>
          </w:tcPr>
          <w:p w:rsidR="00EE323F" w:rsidRPr="00BD3C00" w:rsidRDefault="00EE323F" w:rsidP="004C38AA">
            <w:pPr>
              <w:widowControl w:val="0"/>
              <w:autoSpaceDE w:val="0"/>
              <w:autoSpaceDN w:val="0"/>
              <w:adjustRightInd w:val="0"/>
              <w:jc w:val="center"/>
            </w:pPr>
            <w:r w:rsidRPr="00BD3C00">
              <w:t>16</w:t>
            </w:r>
          </w:p>
          <w:p w:rsidR="00EE323F" w:rsidRPr="00BD3C00" w:rsidRDefault="00EE323F" w:rsidP="004C38AA">
            <w:pPr>
              <w:widowControl w:val="0"/>
              <w:autoSpaceDE w:val="0"/>
              <w:autoSpaceDN w:val="0"/>
              <w:adjustRightInd w:val="0"/>
              <w:jc w:val="center"/>
            </w:pPr>
            <w:r>
              <w:t>(61</w:t>
            </w:r>
            <w:r w:rsidRPr="00BD3C00">
              <w:t>%)</w:t>
            </w:r>
          </w:p>
        </w:tc>
        <w:tc>
          <w:tcPr>
            <w:tcW w:w="2340" w:type="dxa"/>
          </w:tcPr>
          <w:p w:rsidR="00EE323F" w:rsidRPr="00BD3C00" w:rsidRDefault="00EE323F" w:rsidP="004C38AA">
            <w:pPr>
              <w:widowControl w:val="0"/>
              <w:autoSpaceDE w:val="0"/>
              <w:autoSpaceDN w:val="0"/>
              <w:adjustRightInd w:val="0"/>
              <w:jc w:val="center"/>
            </w:pPr>
            <w:r w:rsidRPr="00BD3C00">
              <w:t xml:space="preserve">13 </w:t>
            </w:r>
          </w:p>
          <w:p w:rsidR="00EE323F" w:rsidRPr="00BD3C00" w:rsidRDefault="00EE323F" w:rsidP="004C38AA">
            <w:pPr>
              <w:widowControl w:val="0"/>
              <w:autoSpaceDE w:val="0"/>
              <w:autoSpaceDN w:val="0"/>
              <w:adjustRightInd w:val="0"/>
              <w:jc w:val="center"/>
            </w:pPr>
            <w:r w:rsidRPr="00BD3C00">
              <w:t>(27%)</w:t>
            </w:r>
          </w:p>
        </w:tc>
        <w:tc>
          <w:tcPr>
            <w:tcW w:w="2790" w:type="dxa"/>
          </w:tcPr>
          <w:p w:rsidR="00EE323F" w:rsidRPr="001B0870" w:rsidRDefault="00EE323F" w:rsidP="004C38AA">
            <w:pPr>
              <w:widowControl w:val="0"/>
              <w:autoSpaceDE w:val="0"/>
              <w:autoSpaceDN w:val="0"/>
              <w:adjustRightInd w:val="0"/>
              <w:jc w:val="center"/>
              <w:rPr>
                <w:b/>
              </w:rPr>
            </w:pPr>
            <w:r>
              <w:t>χ</w:t>
            </w:r>
            <w:r w:rsidRPr="00322008">
              <w:rPr>
                <w:vertAlign w:val="superscript"/>
              </w:rPr>
              <w:t>2</w:t>
            </w:r>
            <w:r>
              <w:rPr>
                <w:b/>
              </w:rPr>
              <w:t>=6</w:t>
            </w:r>
            <w:r w:rsidRPr="001B0870">
              <w:rPr>
                <w:b/>
              </w:rPr>
              <w:t>.0753, 0.0137</w:t>
            </w:r>
          </w:p>
        </w:tc>
      </w:tr>
      <w:tr w:rsidR="00EE323F" w:rsidTr="004C38AA">
        <w:tc>
          <w:tcPr>
            <w:tcW w:w="2178" w:type="dxa"/>
          </w:tcPr>
          <w:p w:rsidR="00EE323F" w:rsidRPr="000864AE" w:rsidRDefault="00EE323F" w:rsidP="004C38AA">
            <w:pPr>
              <w:widowControl w:val="0"/>
              <w:autoSpaceDE w:val="0"/>
              <w:autoSpaceDN w:val="0"/>
              <w:adjustRightInd w:val="0"/>
              <w:rPr>
                <w:b/>
              </w:rPr>
            </w:pPr>
            <w:r w:rsidRPr="000864AE">
              <w:rPr>
                <w:b/>
              </w:rPr>
              <w:t>VE/VCO2 Nadir</w:t>
            </w:r>
          </w:p>
        </w:tc>
        <w:tc>
          <w:tcPr>
            <w:tcW w:w="2250" w:type="dxa"/>
          </w:tcPr>
          <w:p w:rsidR="00EE323F" w:rsidRPr="002D140C" w:rsidRDefault="00EE323F" w:rsidP="004C38AA">
            <w:pPr>
              <w:widowControl w:val="0"/>
              <w:autoSpaceDE w:val="0"/>
              <w:autoSpaceDN w:val="0"/>
              <w:adjustRightInd w:val="0"/>
              <w:jc w:val="center"/>
            </w:pPr>
            <w:r w:rsidRPr="002D140C">
              <w:t>X=31.29</w:t>
            </w:r>
          </w:p>
          <w:p w:rsidR="00EE323F" w:rsidRPr="002D140C" w:rsidRDefault="00EE323F" w:rsidP="004C38AA">
            <w:pPr>
              <w:widowControl w:val="0"/>
              <w:autoSpaceDE w:val="0"/>
              <w:autoSpaceDN w:val="0"/>
              <w:adjustRightInd w:val="0"/>
              <w:jc w:val="center"/>
            </w:pPr>
            <w:r w:rsidRPr="002D140C">
              <w:t>(24-41)</w:t>
            </w:r>
          </w:p>
        </w:tc>
        <w:tc>
          <w:tcPr>
            <w:tcW w:w="2340" w:type="dxa"/>
          </w:tcPr>
          <w:p w:rsidR="00EE323F" w:rsidRPr="002D140C" w:rsidRDefault="00EE323F" w:rsidP="004C38AA">
            <w:pPr>
              <w:widowControl w:val="0"/>
              <w:autoSpaceDE w:val="0"/>
              <w:autoSpaceDN w:val="0"/>
              <w:adjustRightInd w:val="0"/>
              <w:jc w:val="center"/>
            </w:pPr>
            <w:r w:rsidRPr="002D140C">
              <w:t>X=30.12</w:t>
            </w:r>
          </w:p>
          <w:p w:rsidR="00EE323F" w:rsidRPr="002D140C" w:rsidRDefault="00EE323F" w:rsidP="004C38AA">
            <w:pPr>
              <w:widowControl w:val="0"/>
              <w:autoSpaceDE w:val="0"/>
              <w:autoSpaceDN w:val="0"/>
              <w:adjustRightInd w:val="0"/>
              <w:jc w:val="center"/>
            </w:pPr>
            <w:r w:rsidRPr="002D140C">
              <w:t>(22-38)</w:t>
            </w:r>
          </w:p>
        </w:tc>
        <w:tc>
          <w:tcPr>
            <w:tcW w:w="2790" w:type="dxa"/>
          </w:tcPr>
          <w:p w:rsidR="00EE323F" w:rsidRPr="002D140C" w:rsidRDefault="00EE323F" w:rsidP="004C38AA">
            <w:pPr>
              <w:widowControl w:val="0"/>
              <w:autoSpaceDE w:val="0"/>
              <w:autoSpaceDN w:val="0"/>
              <w:adjustRightInd w:val="0"/>
              <w:jc w:val="center"/>
            </w:pPr>
            <w:r w:rsidRPr="00552E8F">
              <w:t>t=</w:t>
            </w:r>
            <w:r w:rsidRPr="002D140C">
              <w:rPr>
                <w:b/>
              </w:rPr>
              <w:t xml:space="preserve"> </w:t>
            </w:r>
            <w:r w:rsidRPr="002D140C">
              <w:t>-1.30 , 0.1987</w:t>
            </w:r>
          </w:p>
        </w:tc>
      </w:tr>
      <w:tr w:rsidR="00EE323F" w:rsidTr="004C38AA">
        <w:tc>
          <w:tcPr>
            <w:tcW w:w="2178" w:type="dxa"/>
          </w:tcPr>
          <w:p w:rsidR="00EE323F" w:rsidRPr="000864AE" w:rsidRDefault="00EE323F" w:rsidP="004C38AA">
            <w:pPr>
              <w:widowControl w:val="0"/>
              <w:autoSpaceDE w:val="0"/>
              <w:autoSpaceDN w:val="0"/>
              <w:adjustRightInd w:val="0"/>
              <w:rPr>
                <w:b/>
              </w:rPr>
            </w:pPr>
            <w:r w:rsidRPr="000864AE">
              <w:rPr>
                <w:b/>
              </w:rPr>
              <w:t>Peak RER</w:t>
            </w:r>
          </w:p>
        </w:tc>
        <w:tc>
          <w:tcPr>
            <w:tcW w:w="2250" w:type="dxa"/>
          </w:tcPr>
          <w:p w:rsidR="00EE323F" w:rsidRPr="002D140C" w:rsidRDefault="00EE323F" w:rsidP="004C38AA">
            <w:pPr>
              <w:widowControl w:val="0"/>
              <w:autoSpaceDE w:val="0"/>
              <w:autoSpaceDN w:val="0"/>
              <w:adjustRightInd w:val="0"/>
              <w:jc w:val="center"/>
            </w:pPr>
            <w:r w:rsidRPr="002D140C">
              <w:t>X=1.18</w:t>
            </w:r>
          </w:p>
          <w:p w:rsidR="00EE323F" w:rsidRPr="002D140C" w:rsidRDefault="00EE323F" w:rsidP="004C38AA">
            <w:pPr>
              <w:widowControl w:val="0"/>
              <w:autoSpaceDE w:val="0"/>
              <w:autoSpaceDN w:val="0"/>
              <w:adjustRightInd w:val="0"/>
              <w:jc w:val="center"/>
            </w:pPr>
            <w:r w:rsidRPr="002D140C">
              <w:t>(0.99-1.38)</w:t>
            </w:r>
          </w:p>
        </w:tc>
        <w:tc>
          <w:tcPr>
            <w:tcW w:w="2340" w:type="dxa"/>
          </w:tcPr>
          <w:p w:rsidR="00EE323F" w:rsidRPr="002D140C" w:rsidRDefault="00EE323F" w:rsidP="004C38AA">
            <w:pPr>
              <w:widowControl w:val="0"/>
              <w:autoSpaceDE w:val="0"/>
              <w:autoSpaceDN w:val="0"/>
              <w:adjustRightInd w:val="0"/>
              <w:jc w:val="center"/>
            </w:pPr>
            <w:r w:rsidRPr="002D140C">
              <w:t>X=1.17</w:t>
            </w:r>
          </w:p>
          <w:p w:rsidR="00EE323F" w:rsidRPr="002D140C" w:rsidRDefault="00EE323F" w:rsidP="004C38AA">
            <w:pPr>
              <w:widowControl w:val="0"/>
              <w:autoSpaceDE w:val="0"/>
              <w:autoSpaceDN w:val="0"/>
              <w:adjustRightInd w:val="0"/>
              <w:jc w:val="center"/>
            </w:pPr>
            <w:r w:rsidRPr="002D140C">
              <w:t>(0.88-1.15)</w:t>
            </w:r>
          </w:p>
        </w:tc>
        <w:tc>
          <w:tcPr>
            <w:tcW w:w="2790" w:type="dxa"/>
          </w:tcPr>
          <w:p w:rsidR="00EE323F" w:rsidRPr="002D140C" w:rsidRDefault="00EE323F" w:rsidP="004C38AA">
            <w:pPr>
              <w:widowControl w:val="0"/>
              <w:autoSpaceDE w:val="0"/>
              <w:autoSpaceDN w:val="0"/>
              <w:adjustRightInd w:val="0"/>
              <w:jc w:val="center"/>
            </w:pPr>
            <w:r w:rsidRPr="00552E8F">
              <w:t>t=</w:t>
            </w:r>
            <w:r w:rsidRPr="002D140C">
              <w:rPr>
                <w:b/>
              </w:rPr>
              <w:t xml:space="preserve"> </w:t>
            </w:r>
            <w:r w:rsidRPr="002D140C">
              <w:t>-0.48,  0.6351</w:t>
            </w:r>
          </w:p>
        </w:tc>
      </w:tr>
      <w:tr w:rsidR="00EE323F" w:rsidTr="004C38AA">
        <w:tc>
          <w:tcPr>
            <w:tcW w:w="2178" w:type="dxa"/>
          </w:tcPr>
          <w:p w:rsidR="00EE323F" w:rsidRPr="00BD3C00" w:rsidRDefault="00EE323F" w:rsidP="004C38AA">
            <w:pPr>
              <w:widowControl w:val="0"/>
              <w:autoSpaceDE w:val="0"/>
              <w:autoSpaceDN w:val="0"/>
              <w:adjustRightInd w:val="0"/>
              <w:rPr>
                <w:b/>
              </w:rPr>
            </w:pPr>
            <w:r w:rsidRPr="00BD3C00">
              <w:rPr>
                <w:b/>
              </w:rPr>
              <w:t>RV Severe dilatation</w:t>
            </w:r>
          </w:p>
        </w:tc>
        <w:tc>
          <w:tcPr>
            <w:tcW w:w="2250" w:type="dxa"/>
          </w:tcPr>
          <w:p w:rsidR="00EE323F" w:rsidRPr="00BD3C00" w:rsidRDefault="00EE323F" w:rsidP="004C38AA">
            <w:pPr>
              <w:widowControl w:val="0"/>
              <w:autoSpaceDE w:val="0"/>
              <w:autoSpaceDN w:val="0"/>
              <w:adjustRightInd w:val="0"/>
              <w:jc w:val="center"/>
            </w:pPr>
            <w:r w:rsidRPr="00BD3C00">
              <w:t>20</w:t>
            </w:r>
          </w:p>
          <w:p w:rsidR="00EE323F" w:rsidRPr="00BD3C00" w:rsidRDefault="00EE323F" w:rsidP="004C38AA">
            <w:pPr>
              <w:widowControl w:val="0"/>
              <w:autoSpaceDE w:val="0"/>
              <w:autoSpaceDN w:val="0"/>
              <w:adjustRightInd w:val="0"/>
              <w:jc w:val="center"/>
            </w:pPr>
            <w:r w:rsidRPr="00BD3C00">
              <w:t>(74%)</w:t>
            </w:r>
          </w:p>
        </w:tc>
        <w:tc>
          <w:tcPr>
            <w:tcW w:w="2340" w:type="dxa"/>
          </w:tcPr>
          <w:p w:rsidR="00EE323F" w:rsidRPr="00BD3C00" w:rsidRDefault="00EE323F" w:rsidP="004C38AA">
            <w:pPr>
              <w:widowControl w:val="0"/>
              <w:autoSpaceDE w:val="0"/>
              <w:autoSpaceDN w:val="0"/>
              <w:adjustRightInd w:val="0"/>
              <w:jc w:val="center"/>
            </w:pPr>
            <w:r w:rsidRPr="00BD3C00">
              <w:t>20</w:t>
            </w:r>
          </w:p>
          <w:p w:rsidR="00EE323F" w:rsidRPr="00BD3C00" w:rsidRDefault="00EE323F" w:rsidP="004C38AA">
            <w:pPr>
              <w:widowControl w:val="0"/>
              <w:autoSpaceDE w:val="0"/>
              <w:autoSpaceDN w:val="0"/>
              <w:adjustRightInd w:val="0"/>
              <w:jc w:val="center"/>
            </w:pPr>
            <w:r w:rsidRPr="00BD3C00">
              <w:t>(42%)</w:t>
            </w:r>
          </w:p>
        </w:tc>
        <w:tc>
          <w:tcPr>
            <w:tcW w:w="2790" w:type="dxa"/>
          </w:tcPr>
          <w:p w:rsidR="00EE323F" w:rsidRPr="001B0870" w:rsidRDefault="00EE323F" w:rsidP="004C38AA">
            <w:pPr>
              <w:widowControl w:val="0"/>
              <w:autoSpaceDE w:val="0"/>
              <w:autoSpaceDN w:val="0"/>
              <w:adjustRightInd w:val="0"/>
              <w:jc w:val="center"/>
              <w:rPr>
                <w:b/>
              </w:rPr>
            </w:pPr>
            <w:r>
              <w:t>χ</w:t>
            </w:r>
            <w:r w:rsidRPr="00322008">
              <w:rPr>
                <w:vertAlign w:val="superscript"/>
              </w:rPr>
              <w:t>2</w:t>
            </w:r>
            <w:r>
              <w:rPr>
                <w:b/>
              </w:rPr>
              <w:t>=7</w:t>
            </w:r>
            <w:r w:rsidRPr="001B0870">
              <w:rPr>
                <w:b/>
              </w:rPr>
              <w:t>.2917, 0.0069</w:t>
            </w:r>
          </w:p>
        </w:tc>
      </w:tr>
      <w:tr w:rsidR="00EE323F" w:rsidTr="004C38AA">
        <w:tc>
          <w:tcPr>
            <w:tcW w:w="2178" w:type="dxa"/>
          </w:tcPr>
          <w:p w:rsidR="00EE323F" w:rsidRPr="00BD3C00" w:rsidRDefault="00EE323F" w:rsidP="004C38AA">
            <w:pPr>
              <w:widowControl w:val="0"/>
              <w:autoSpaceDE w:val="0"/>
              <w:autoSpaceDN w:val="0"/>
              <w:adjustRightInd w:val="0"/>
              <w:rPr>
                <w:b/>
              </w:rPr>
            </w:pPr>
            <w:r w:rsidRPr="00BD3C00">
              <w:rPr>
                <w:b/>
              </w:rPr>
              <w:t>Severe TVR</w:t>
            </w:r>
          </w:p>
        </w:tc>
        <w:tc>
          <w:tcPr>
            <w:tcW w:w="2250" w:type="dxa"/>
          </w:tcPr>
          <w:p w:rsidR="00EE323F" w:rsidRPr="00BD3C00" w:rsidRDefault="00EE323F" w:rsidP="004C38AA">
            <w:pPr>
              <w:widowControl w:val="0"/>
              <w:autoSpaceDE w:val="0"/>
              <w:autoSpaceDN w:val="0"/>
              <w:adjustRightInd w:val="0"/>
              <w:jc w:val="center"/>
            </w:pPr>
            <w:r w:rsidRPr="00BD3C00">
              <w:t>19</w:t>
            </w:r>
          </w:p>
          <w:p w:rsidR="00EE323F" w:rsidRPr="00BD3C00" w:rsidRDefault="00EE323F" w:rsidP="004C38AA">
            <w:pPr>
              <w:widowControl w:val="0"/>
              <w:autoSpaceDE w:val="0"/>
              <w:autoSpaceDN w:val="0"/>
              <w:adjustRightInd w:val="0"/>
              <w:jc w:val="center"/>
            </w:pPr>
            <w:r>
              <w:t>(73</w:t>
            </w:r>
            <w:r w:rsidRPr="00BD3C00">
              <w:t>%)</w:t>
            </w:r>
          </w:p>
        </w:tc>
        <w:tc>
          <w:tcPr>
            <w:tcW w:w="2340" w:type="dxa"/>
          </w:tcPr>
          <w:p w:rsidR="00EE323F" w:rsidRPr="00BD3C00" w:rsidRDefault="00EE323F" w:rsidP="004C38AA">
            <w:pPr>
              <w:widowControl w:val="0"/>
              <w:autoSpaceDE w:val="0"/>
              <w:autoSpaceDN w:val="0"/>
              <w:adjustRightInd w:val="0"/>
              <w:jc w:val="center"/>
            </w:pPr>
            <w:r w:rsidRPr="00BD3C00">
              <w:t>7</w:t>
            </w:r>
          </w:p>
          <w:p w:rsidR="00EE323F" w:rsidRPr="00BD3C00" w:rsidRDefault="00EE323F" w:rsidP="004C38AA">
            <w:pPr>
              <w:widowControl w:val="0"/>
              <w:autoSpaceDE w:val="0"/>
              <w:autoSpaceDN w:val="0"/>
              <w:adjustRightInd w:val="0"/>
              <w:jc w:val="center"/>
            </w:pPr>
            <w:r w:rsidRPr="00BD3C00">
              <w:t>(15%)</w:t>
            </w:r>
          </w:p>
        </w:tc>
        <w:tc>
          <w:tcPr>
            <w:tcW w:w="2790" w:type="dxa"/>
          </w:tcPr>
          <w:p w:rsidR="00EE323F" w:rsidRPr="00BD3C00" w:rsidRDefault="00040A21" w:rsidP="004C38AA">
            <w:pPr>
              <w:widowControl w:val="0"/>
              <w:autoSpaceDE w:val="0"/>
              <w:autoSpaceDN w:val="0"/>
              <w:adjustRightInd w:val="0"/>
              <w:jc w:val="center"/>
              <w:rPr>
                <w:b/>
              </w:rPr>
            </w:pPr>
            <m:oMath>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 xml:space="preserve"> </m:t>
              </m:r>
            </m:oMath>
            <w:r w:rsidR="00EE323F" w:rsidRPr="00BD3C00">
              <w:rPr>
                <w:b/>
              </w:rPr>
              <w:t>22.5689, &lt;.0001</w:t>
            </w:r>
          </w:p>
        </w:tc>
      </w:tr>
      <w:tr w:rsidR="00EE323F" w:rsidTr="004C38AA">
        <w:tc>
          <w:tcPr>
            <w:tcW w:w="2178" w:type="dxa"/>
          </w:tcPr>
          <w:p w:rsidR="00EE323F" w:rsidRPr="00BD3C00" w:rsidRDefault="00EE323F" w:rsidP="004C38AA">
            <w:pPr>
              <w:widowControl w:val="0"/>
              <w:autoSpaceDE w:val="0"/>
              <w:autoSpaceDN w:val="0"/>
              <w:adjustRightInd w:val="0"/>
              <w:rPr>
                <w:b/>
              </w:rPr>
            </w:pPr>
            <w:r w:rsidRPr="00BD3C00">
              <w:rPr>
                <w:b/>
              </w:rPr>
              <w:t xml:space="preserve">RV Severe </w:t>
            </w:r>
            <w:proofErr w:type="spellStart"/>
            <w:r w:rsidRPr="00BD3C00">
              <w:rPr>
                <w:b/>
              </w:rPr>
              <w:t>SysDx</w:t>
            </w:r>
            <w:proofErr w:type="spellEnd"/>
          </w:p>
        </w:tc>
        <w:tc>
          <w:tcPr>
            <w:tcW w:w="2250" w:type="dxa"/>
          </w:tcPr>
          <w:p w:rsidR="00EE323F" w:rsidRPr="00BD3C00" w:rsidRDefault="00EE323F" w:rsidP="004C38AA">
            <w:pPr>
              <w:widowControl w:val="0"/>
              <w:autoSpaceDE w:val="0"/>
              <w:autoSpaceDN w:val="0"/>
              <w:adjustRightInd w:val="0"/>
              <w:jc w:val="center"/>
            </w:pPr>
            <w:r w:rsidRPr="00BD3C00">
              <w:t>11</w:t>
            </w:r>
          </w:p>
          <w:p w:rsidR="00EE323F" w:rsidRPr="00BD3C00" w:rsidRDefault="00EE323F" w:rsidP="004C38AA">
            <w:pPr>
              <w:widowControl w:val="0"/>
              <w:autoSpaceDE w:val="0"/>
              <w:autoSpaceDN w:val="0"/>
              <w:adjustRightInd w:val="0"/>
              <w:jc w:val="center"/>
            </w:pPr>
            <w:r>
              <w:t>(42</w:t>
            </w:r>
            <w:r w:rsidRPr="00BD3C00">
              <w:t>%)</w:t>
            </w:r>
          </w:p>
        </w:tc>
        <w:tc>
          <w:tcPr>
            <w:tcW w:w="2340" w:type="dxa"/>
          </w:tcPr>
          <w:p w:rsidR="00EE323F" w:rsidRPr="00BD3C00" w:rsidRDefault="00EE323F" w:rsidP="004C38AA">
            <w:pPr>
              <w:widowControl w:val="0"/>
              <w:autoSpaceDE w:val="0"/>
              <w:autoSpaceDN w:val="0"/>
              <w:adjustRightInd w:val="0"/>
              <w:jc w:val="center"/>
            </w:pPr>
            <w:r w:rsidRPr="00BD3C00">
              <w:t>15</w:t>
            </w:r>
          </w:p>
          <w:p w:rsidR="00EE323F" w:rsidRPr="00BD3C00" w:rsidRDefault="00EE323F" w:rsidP="004C38AA">
            <w:pPr>
              <w:widowControl w:val="0"/>
              <w:autoSpaceDE w:val="0"/>
              <w:autoSpaceDN w:val="0"/>
              <w:adjustRightInd w:val="0"/>
              <w:jc w:val="center"/>
            </w:pPr>
            <w:r w:rsidRPr="00BD3C00">
              <w:t>(31%)</w:t>
            </w:r>
          </w:p>
        </w:tc>
        <w:tc>
          <w:tcPr>
            <w:tcW w:w="2790" w:type="dxa"/>
          </w:tcPr>
          <w:p w:rsidR="00EE323F" w:rsidRPr="00BD3C00" w:rsidRDefault="00040A21" w:rsidP="004C38AA">
            <w:pPr>
              <w:widowControl w:val="0"/>
              <w:autoSpaceDE w:val="0"/>
              <w:autoSpaceDN w:val="0"/>
              <w:adjustRightInd w:val="0"/>
              <w:jc w:val="center"/>
            </w:pPr>
            <m:oMath>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 xml:space="preserve"> </m:t>
              </m:r>
            </m:oMath>
            <w:r w:rsidR="00EE323F" w:rsidRPr="00BD3C00">
              <w:t>0.6872, 0.4071</w:t>
            </w:r>
          </w:p>
        </w:tc>
      </w:tr>
      <w:tr w:rsidR="00EE323F" w:rsidTr="004C38AA">
        <w:tc>
          <w:tcPr>
            <w:tcW w:w="2178" w:type="dxa"/>
          </w:tcPr>
          <w:p w:rsidR="00EE323F" w:rsidRPr="000864AE" w:rsidRDefault="00EE323F" w:rsidP="004C38AA">
            <w:pPr>
              <w:widowControl w:val="0"/>
              <w:autoSpaceDE w:val="0"/>
              <w:autoSpaceDN w:val="0"/>
              <w:adjustRightInd w:val="0"/>
              <w:rPr>
                <w:b/>
              </w:rPr>
            </w:pPr>
            <w:r w:rsidRPr="000864AE">
              <w:rPr>
                <w:b/>
              </w:rPr>
              <w:t>EF %</w:t>
            </w:r>
            <w:r w:rsidRPr="000864AE">
              <w:rPr>
                <w:b/>
              </w:rPr>
              <w:tab/>
            </w:r>
            <w:r w:rsidRPr="000864AE">
              <w:rPr>
                <w:b/>
              </w:rPr>
              <w:tab/>
            </w:r>
          </w:p>
        </w:tc>
        <w:tc>
          <w:tcPr>
            <w:tcW w:w="2250" w:type="dxa"/>
          </w:tcPr>
          <w:p w:rsidR="00EE323F" w:rsidRPr="002D140C" w:rsidRDefault="00EE323F" w:rsidP="004C38AA">
            <w:pPr>
              <w:widowControl w:val="0"/>
              <w:autoSpaceDE w:val="0"/>
              <w:autoSpaceDN w:val="0"/>
              <w:adjustRightInd w:val="0"/>
              <w:jc w:val="center"/>
            </w:pPr>
            <w:r w:rsidRPr="002D140C">
              <w:t>X=58.89%</w:t>
            </w:r>
          </w:p>
          <w:p w:rsidR="00EE323F" w:rsidRPr="002D140C" w:rsidRDefault="00EE323F" w:rsidP="004C38AA">
            <w:pPr>
              <w:widowControl w:val="0"/>
              <w:autoSpaceDE w:val="0"/>
              <w:autoSpaceDN w:val="0"/>
              <w:adjustRightInd w:val="0"/>
              <w:jc w:val="center"/>
            </w:pPr>
            <w:r w:rsidRPr="002D140C">
              <w:lastRenderedPageBreak/>
              <w:t>(45-68%)</w:t>
            </w:r>
          </w:p>
        </w:tc>
        <w:tc>
          <w:tcPr>
            <w:tcW w:w="2340" w:type="dxa"/>
          </w:tcPr>
          <w:p w:rsidR="00EE323F" w:rsidRPr="002D140C" w:rsidRDefault="00EE323F" w:rsidP="004C38AA">
            <w:pPr>
              <w:widowControl w:val="0"/>
              <w:autoSpaceDE w:val="0"/>
              <w:autoSpaceDN w:val="0"/>
              <w:adjustRightInd w:val="0"/>
              <w:jc w:val="center"/>
            </w:pPr>
            <w:r w:rsidRPr="002D140C">
              <w:lastRenderedPageBreak/>
              <w:t>X=61.54%</w:t>
            </w:r>
          </w:p>
          <w:p w:rsidR="00EE323F" w:rsidRPr="002D140C" w:rsidRDefault="00EE323F" w:rsidP="004C38AA">
            <w:pPr>
              <w:widowControl w:val="0"/>
              <w:autoSpaceDE w:val="0"/>
              <w:autoSpaceDN w:val="0"/>
              <w:adjustRightInd w:val="0"/>
              <w:jc w:val="center"/>
            </w:pPr>
            <w:r w:rsidRPr="002D140C">
              <w:lastRenderedPageBreak/>
              <w:t>(45-71%)</w:t>
            </w:r>
          </w:p>
        </w:tc>
        <w:tc>
          <w:tcPr>
            <w:tcW w:w="2790" w:type="dxa"/>
          </w:tcPr>
          <w:p w:rsidR="00EE323F" w:rsidRPr="002D140C" w:rsidRDefault="00EE323F" w:rsidP="004C38AA">
            <w:pPr>
              <w:widowControl w:val="0"/>
              <w:autoSpaceDE w:val="0"/>
              <w:autoSpaceDN w:val="0"/>
              <w:adjustRightInd w:val="0"/>
              <w:jc w:val="center"/>
            </w:pPr>
            <w:r w:rsidRPr="002D140C">
              <w:rPr>
                <w:b/>
              </w:rPr>
              <w:lastRenderedPageBreak/>
              <w:t xml:space="preserve">T </w:t>
            </w:r>
            <w:r>
              <w:rPr>
                <w:b/>
              </w:rPr>
              <w:t xml:space="preserve"> </w:t>
            </w:r>
            <w:r w:rsidRPr="002D140C">
              <w:t>1.79,  0.0776</w:t>
            </w:r>
          </w:p>
        </w:tc>
      </w:tr>
    </w:tbl>
    <w:p w:rsidR="00EE323F" w:rsidRDefault="00EE323F" w:rsidP="00EE323F">
      <w:pPr>
        <w:pStyle w:val="NoSpacing"/>
        <w:jc w:val="both"/>
        <w:rPr>
          <w:sz w:val="16"/>
          <w:szCs w:val="16"/>
        </w:rPr>
      </w:pPr>
      <w:r w:rsidRPr="00FC0516">
        <w:rPr>
          <w:sz w:val="16"/>
          <w:szCs w:val="16"/>
        </w:rPr>
        <w:lastRenderedPageBreak/>
        <w:t>X=mean</w:t>
      </w:r>
      <w:r>
        <w:rPr>
          <w:sz w:val="16"/>
          <w:szCs w:val="16"/>
        </w:rPr>
        <w:t xml:space="preserve"> for T student</w:t>
      </w:r>
      <w:r w:rsidRPr="00FC0516">
        <w:rPr>
          <w:sz w:val="16"/>
          <w:szCs w:val="16"/>
        </w:rPr>
        <w:t xml:space="preserve">; </w:t>
      </w:r>
      <m:oMath>
        <m:sSup>
          <m:sSupPr>
            <m:ctrlPr>
              <w:rPr>
                <w:rFonts w:ascii="Cambria Math" w:hAnsi="Cambria Math"/>
                <w:i/>
                <w:sz w:val="16"/>
                <w:szCs w:val="16"/>
              </w:rPr>
            </m:ctrlPr>
          </m:sSupPr>
          <m:e>
            <m:r>
              <w:rPr>
                <w:rFonts w:ascii="Cambria Math" w:hAnsi="Cambria Math"/>
                <w:sz w:val="16"/>
                <w:szCs w:val="16"/>
              </w:rPr>
              <m:t>x</m:t>
            </m:r>
          </m:e>
          <m:sup>
            <m:r>
              <w:rPr>
                <w:rFonts w:ascii="Cambria Math" w:hAnsi="Cambria Math"/>
                <w:sz w:val="16"/>
                <w:szCs w:val="16"/>
              </w:rPr>
              <m:t>2</m:t>
            </m:r>
          </m:sup>
        </m:sSup>
      </m:oMath>
      <w:r w:rsidRPr="00627711">
        <w:rPr>
          <w:sz w:val="16"/>
          <w:szCs w:val="16"/>
        </w:rPr>
        <w:t xml:space="preserve">= Chi square; </w:t>
      </w:r>
      <w:r w:rsidRPr="00FC0516">
        <w:rPr>
          <w:sz w:val="16"/>
          <w:szCs w:val="16"/>
        </w:rPr>
        <w:t>BMI=body mass index; EF%= ejection fraction %; VO2 max=peak oxygen consumption in the test; VO2 max predicted= the percentage of VO2 they reach for a control with same gender and age; VO2 max Predicted &lt;60%= if they VO2 % was below the 60% of the predicted by same age and gender control; VE/VCO2 nadir=the minute ventilation carbon dioxide production relationship; Peak RER= the max</w:t>
      </w:r>
      <w:r>
        <w:rPr>
          <w:sz w:val="16"/>
          <w:szCs w:val="16"/>
        </w:rPr>
        <w:t xml:space="preserve">imum respiratory exchange ratio; </w:t>
      </w:r>
      <w:r w:rsidRPr="00627711">
        <w:rPr>
          <w:sz w:val="16"/>
          <w:szCs w:val="16"/>
        </w:rPr>
        <w:t>RV = right ventricle; TVR=tricuspid valve regurgitation; QRS=QRS interval in ECG</w:t>
      </w:r>
      <w:r>
        <w:rPr>
          <w:sz w:val="16"/>
          <w:szCs w:val="16"/>
        </w:rPr>
        <w:t xml:space="preserve">; RV severe </w:t>
      </w:r>
      <w:proofErr w:type="spellStart"/>
      <w:r>
        <w:rPr>
          <w:sz w:val="16"/>
          <w:szCs w:val="16"/>
        </w:rPr>
        <w:t>SysDx</w:t>
      </w:r>
      <w:proofErr w:type="spellEnd"/>
      <w:r>
        <w:rPr>
          <w:sz w:val="16"/>
          <w:szCs w:val="16"/>
        </w:rPr>
        <w:t xml:space="preserve"> = right ventricle severe systolic dysfunction</w:t>
      </w:r>
      <w:r w:rsidRPr="00627711">
        <w:rPr>
          <w:sz w:val="16"/>
          <w:szCs w:val="16"/>
        </w:rPr>
        <w:t xml:space="preserve">; </w:t>
      </w:r>
      <w:proofErr w:type="spellStart"/>
      <w:r w:rsidRPr="00627711">
        <w:rPr>
          <w:sz w:val="16"/>
          <w:szCs w:val="16"/>
        </w:rPr>
        <w:t>Sx</w:t>
      </w:r>
      <w:proofErr w:type="spellEnd"/>
      <w:r w:rsidRPr="00627711">
        <w:rPr>
          <w:sz w:val="16"/>
          <w:szCs w:val="16"/>
        </w:rPr>
        <w:t xml:space="preserve"> =surgery; B</w:t>
      </w:r>
      <w:r>
        <w:rPr>
          <w:sz w:val="16"/>
          <w:szCs w:val="16"/>
        </w:rPr>
        <w:t>eta</w:t>
      </w:r>
      <w:r w:rsidRPr="00627711">
        <w:rPr>
          <w:sz w:val="16"/>
          <w:szCs w:val="16"/>
        </w:rPr>
        <w:t xml:space="preserve"> Block=beta blocker; </w:t>
      </w:r>
      <w:r>
        <w:rPr>
          <w:sz w:val="16"/>
          <w:szCs w:val="16"/>
        </w:rPr>
        <w:t xml:space="preserve">RBBB= right bundle branch </w:t>
      </w:r>
      <w:proofErr w:type="spellStart"/>
      <w:r>
        <w:rPr>
          <w:sz w:val="16"/>
          <w:szCs w:val="16"/>
        </w:rPr>
        <w:t>block</w:t>
      </w:r>
      <w:r w:rsidRPr="00627711">
        <w:rPr>
          <w:sz w:val="16"/>
          <w:szCs w:val="16"/>
        </w:rPr>
        <w:t>;PFO</w:t>
      </w:r>
      <w:proofErr w:type="spellEnd"/>
      <w:r w:rsidRPr="00627711">
        <w:rPr>
          <w:sz w:val="16"/>
          <w:szCs w:val="16"/>
        </w:rPr>
        <w:t>=patent foramen oval; ASD= atrial septal defect; Stop CPX for Symptoms= the patient stop the cardiopulmonary exercise test be</w:t>
      </w:r>
      <w:r>
        <w:rPr>
          <w:sz w:val="16"/>
          <w:szCs w:val="16"/>
        </w:rPr>
        <w:t>cause any symptom like fatigue.</w:t>
      </w:r>
    </w:p>
    <w:p w:rsidR="00EE323F" w:rsidRDefault="00EE323F" w:rsidP="00EE323F"/>
    <w:sectPr w:rsidR="00EE3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33619F"/>
    <w:multiLevelType w:val="hybridMultilevel"/>
    <w:tmpl w:val="C9AE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23F"/>
    <w:rsid w:val="00040A21"/>
    <w:rsid w:val="00263148"/>
    <w:rsid w:val="003F7B01"/>
    <w:rsid w:val="00670BDD"/>
    <w:rsid w:val="00DC74F5"/>
    <w:rsid w:val="00EE3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1854B-A42B-4191-B546-57DA67C2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323F"/>
    <w:pPr>
      <w:spacing w:after="0" w:line="240" w:lineRule="auto"/>
    </w:pPr>
  </w:style>
  <w:style w:type="table" w:styleId="TableGrid">
    <w:name w:val="Table Grid"/>
    <w:basedOn w:val="TableNormal"/>
    <w:uiPriority w:val="59"/>
    <w:rsid w:val="00EE3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3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23F"/>
    <w:rPr>
      <w:rFonts w:ascii="Tahoma" w:hAnsi="Tahoma" w:cs="Tahoma"/>
      <w:sz w:val="16"/>
      <w:szCs w:val="16"/>
    </w:rPr>
  </w:style>
  <w:style w:type="paragraph" w:styleId="ListParagraph">
    <w:name w:val="List Paragraph"/>
    <w:basedOn w:val="Normal"/>
    <w:uiPriority w:val="34"/>
    <w:qFormat/>
    <w:rsid w:val="0026314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Barillas Lara</dc:creator>
  <cp:lastModifiedBy>Andersen, Kristen</cp:lastModifiedBy>
  <cp:revision>2</cp:revision>
  <dcterms:created xsi:type="dcterms:W3CDTF">2018-10-08T17:12:00Z</dcterms:created>
  <dcterms:modified xsi:type="dcterms:W3CDTF">2018-10-08T17:12:00Z</dcterms:modified>
</cp:coreProperties>
</file>