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44CC" w14:textId="683BAE5E" w:rsidR="005F380B" w:rsidRDefault="005D4C65">
      <w:pPr>
        <w:rPr>
          <w:b/>
        </w:rPr>
      </w:pPr>
      <w:r>
        <w:rPr>
          <w:b/>
        </w:rPr>
        <w:t>A Call to Action</w:t>
      </w:r>
      <w:r w:rsidR="0086606B">
        <w:rPr>
          <w:b/>
        </w:rPr>
        <w:t xml:space="preserve">:  </w:t>
      </w:r>
      <w:r w:rsidR="000D4A0D">
        <w:rPr>
          <w:b/>
        </w:rPr>
        <w:t>Few States Prioritize Formal Health Evaluation Following Susp</w:t>
      </w:r>
      <w:r w:rsidR="005F380B">
        <w:rPr>
          <w:b/>
        </w:rPr>
        <w:t>ected Cardiac Arrest in Athletes</w:t>
      </w:r>
    </w:p>
    <w:p w14:paraId="2DC6D590" w14:textId="4CA1A7CE" w:rsidR="005F380B" w:rsidRPr="005F380B" w:rsidRDefault="005F380B">
      <w:r>
        <w:t>Shannon Lyon DO (Fellow), Samantha Freeze MS (Genetic Counselor), Benjamin Helm MS (Genetic Counselor), Adam Kean MD (Attending), Mark Ayers MD (Attending)</w:t>
      </w:r>
    </w:p>
    <w:p w14:paraId="7D15E183" w14:textId="77777777" w:rsidR="00971B91" w:rsidRDefault="00971B91" w:rsidP="00425231">
      <w:pPr>
        <w:rPr>
          <w:b/>
        </w:rPr>
      </w:pPr>
      <w:r>
        <w:rPr>
          <w:b/>
        </w:rPr>
        <w:t>Background</w:t>
      </w:r>
    </w:p>
    <w:p w14:paraId="4B794B4F" w14:textId="24390FBF" w:rsidR="00971B91" w:rsidRDefault="0090642A" w:rsidP="00425231">
      <w:pPr>
        <w:rPr>
          <w:b/>
        </w:rPr>
      </w:pPr>
      <w:r>
        <w:t>Sudden cardiac arrest</w:t>
      </w:r>
      <w:r w:rsidR="005C2790">
        <w:t xml:space="preserve"> (SCA)</w:t>
      </w:r>
      <w:r w:rsidR="00DA680D">
        <w:t xml:space="preserve"> </w:t>
      </w:r>
      <w:r>
        <w:t>accounts for half of all exercise-related deaths</w:t>
      </w:r>
      <w:r w:rsidR="00971B91">
        <w:t>.</w:t>
      </w:r>
      <w:r w:rsidR="00100534">
        <w:t xml:space="preserve"> </w:t>
      </w:r>
      <w:r w:rsidR="003E12BD">
        <w:t xml:space="preserve"> </w:t>
      </w:r>
      <w:r w:rsidR="005C2790" w:rsidRPr="005C2790">
        <w:t>Evaluation</w:t>
      </w:r>
      <w:r w:rsidR="00677A3C" w:rsidRPr="005C2790">
        <w:t xml:space="preserve"> </w:t>
      </w:r>
      <w:r w:rsidR="00971B91" w:rsidRPr="005C2790">
        <w:t>i</w:t>
      </w:r>
      <w:r w:rsidR="00971B91">
        <w:t xml:space="preserve">s crucial to determine the etiology, </w:t>
      </w:r>
      <w:r w:rsidR="00F45361">
        <w:t>recurrence risk</w:t>
      </w:r>
      <w:r>
        <w:t xml:space="preserve">, and </w:t>
      </w:r>
      <w:r w:rsidR="00284F1F">
        <w:t>treatment</w:t>
      </w:r>
      <w:r w:rsidR="00971B91">
        <w:t>.</w:t>
      </w:r>
      <w:r w:rsidR="005F380B">
        <w:t xml:space="preserve">  E</w:t>
      </w:r>
      <w:r w:rsidR="000B7477">
        <w:t xml:space="preserve">nactment of return-to-play laws for concussion has been a successful public health initiative throughout </w:t>
      </w:r>
      <w:r w:rsidR="00E8543C">
        <w:t xml:space="preserve">the </w:t>
      </w:r>
      <w:r w:rsidR="000B7477">
        <w:t>country</w:t>
      </w:r>
      <w:r w:rsidR="00565591">
        <w:t>.</w:t>
      </w:r>
      <w:r w:rsidR="00901BCC">
        <w:t xml:space="preserve"> </w:t>
      </w:r>
      <w:r w:rsidR="00565591">
        <w:t>The prioritization of laws to reduce the incidence of student athletes with sudden cardiac arrest among state legislatures is less clear.</w:t>
      </w:r>
      <w:r w:rsidR="00565591" w:rsidDel="00565591">
        <w:t xml:space="preserve"> </w:t>
      </w:r>
    </w:p>
    <w:p w14:paraId="074B051F" w14:textId="77777777" w:rsidR="004F295F" w:rsidRDefault="004F295F" w:rsidP="00425231">
      <w:pPr>
        <w:rPr>
          <w:b/>
        </w:rPr>
      </w:pPr>
      <w:r>
        <w:rPr>
          <w:b/>
        </w:rPr>
        <w:t>Objective</w:t>
      </w:r>
    </w:p>
    <w:p w14:paraId="64102D8F" w14:textId="4B2A6C3C" w:rsidR="004F295F" w:rsidRDefault="004F295F" w:rsidP="00425231">
      <w:r>
        <w:t xml:space="preserve">To </w:t>
      </w:r>
      <w:r w:rsidR="00C80F48">
        <w:t>define</w:t>
      </w:r>
      <w:r w:rsidR="006C7638">
        <w:t xml:space="preserve"> the p</w:t>
      </w:r>
      <w:r w:rsidR="000B7477">
        <w:t>revalence</w:t>
      </w:r>
      <w:r w:rsidR="006C7638">
        <w:t xml:space="preserve"> of</w:t>
      </w:r>
      <w:r>
        <w:t xml:space="preserve"> </w:t>
      </w:r>
      <w:r w:rsidR="003E12BD">
        <w:t>laws</w:t>
      </w:r>
      <w:r w:rsidR="00F607F8">
        <w:t xml:space="preserve"> regarding </w:t>
      </w:r>
      <w:r w:rsidR="000B7477">
        <w:t xml:space="preserve">return-to-play and </w:t>
      </w:r>
      <w:r w:rsidR="00F607F8">
        <w:t xml:space="preserve">evaluation of </w:t>
      </w:r>
      <w:r>
        <w:t>student athletes</w:t>
      </w:r>
      <w:r w:rsidR="006C7638">
        <w:t xml:space="preserve"> </w:t>
      </w:r>
      <w:r w:rsidR="00D25A27">
        <w:t xml:space="preserve">at risk for </w:t>
      </w:r>
      <w:r w:rsidR="005C2790">
        <w:t>SCA</w:t>
      </w:r>
      <w:r w:rsidR="00D25A27">
        <w:t xml:space="preserve"> </w:t>
      </w:r>
      <w:r w:rsidR="006C7638">
        <w:t>relative to similar laws pertaining to concussion</w:t>
      </w:r>
      <w:r>
        <w:t>.</w:t>
      </w:r>
    </w:p>
    <w:p w14:paraId="5BB0A2BC" w14:textId="77777777" w:rsidR="004F295F" w:rsidRDefault="004F295F" w:rsidP="00425231">
      <w:pPr>
        <w:rPr>
          <w:b/>
        </w:rPr>
      </w:pPr>
      <w:r>
        <w:rPr>
          <w:b/>
        </w:rPr>
        <w:t>Methods</w:t>
      </w:r>
    </w:p>
    <w:p w14:paraId="225FF3B2" w14:textId="2ED9A4F4" w:rsidR="004F295F" w:rsidRPr="004F295F" w:rsidRDefault="004F295F" w:rsidP="00425231">
      <w:r>
        <w:t xml:space="preserve">We </w:t>
      </w:r>
      <w:r w:rsidR="006C7638">
        <w:t>reviewed</w:t>
      </w:r>
      <w:r w:rsidR="00D90211">
        <w:t xml:space="preserve"> each state’s </w:t>
      </w:r>
      <w:r w:rsidR="006C7638">
        <w:t>statutes</w:t>
      </w:r>
      <w:r>
        <w:t xml:space="preserve"> regarding </w:t>
      </w:r>
      <w:r w:rsidR="005C2790">
        <w:t>SCA</w:t>
      </w:r>
      <w:r w:rsidR="00BA1F6D">
        <w:t xml:space="preserve"> </w:t>
      </w:r>
      <w:r w:rsidR="006C7638">
        <w:t xml:space="preserve">and compared them to similar laws pertaining to concussion </w:t>
      </w:r>
      <w:r w:rsidR="00BA1F6D">
        <w:t>in student athletes</w:t>
      </w:r>
      <w:r w:rsidR="00C03FB3">
        <w:t>.</w:t>
      </w:r>
    </w:p>
    <w:p w14:paraId="5614AEA2" w14:textId="77777777" w:rsidR="00971B91" w:rsidRDefault="00971B91" w:rsidP="00425231">
      <w:pPr>
        <w:rPr>
          <w:b/>
        </w:rPr>
      </w:pPr>
      <w:r>
        <w:rPr>
          <w:b/>
        </w:rPr>
        <w:t>Results</w:t>
      </w:r>
    </w:p>
    <w:p w14:paraId="7973F53E" w14:textId="481F6F39" w:rsidR="005F0379" w:rsidRPr="00FE33DC" w:rsidRDefault="00E8543C" w:rsidP="005F0379">
      <w:r>
        <w:t xml:space="preserve">Laws addressing </w:t>
      </w:r>
      <w:r w:rsidR="005C2790">
        <w:t>SCA</w:t>
      </w:r>
      <w:r>
        <w:t xml:space="preserve"> in student athletes are present in </w:t>
      </w:r>
      <w:r w:rsidR="005F0379">
        <w:t xml:space="preserve">21/50 (42%) states </w:t>
      </w:r>
      <w:r w:rsidR="00616AC5">
        <w:t xml:space="preserve">and </w:t>
      </w:r>
      <w:r w:rsidR="005F0379">
        <w:t xml:space="preserve">12/21 (57%) </w:t>
      </w:r>
      <w:r w:rsidR="00616AC5">
        <w:t xml:space="preserve">of these </w:t>
      </w:r>
      <w:r w:rsidR="005F0379">
        <w:t xml:space="preserve">require evaluation by </w:t>
      </w:r>
      <w:r w:rsidR="00EA236C">
        <w:t>an</w:t>
      </w:r>
      <w:r w:rsidR="00F607F8">
        <w:t xml:space="preserve"> appropriate</w:t>
      </w:r>
      <w:r w:rsidR="005F0379">
        <w:t xml:space="preserve"> health care provider before returning to play</w:t>
      </w:r>
      <w:r w:rsidR="002337E2">
        <w:t>.  This</w:t>
      </w:r>
      <w:r w:rsidR="005C2790">
        <w:t xml:space="preserve"> is defined as a physician or </w:t>
      </w:r>
      <w:r w:rsidR="002337E2">
        <w:t>nurse practitioner in 8/1</w:t>
      </w:r>
      <w:r w:rsidR="00EA236C">
        <w:t xml:space="preserve">2 (67%) </w:t>
      </w:r>
      <w:r w:rsidR="006B7A55">
        <w:t>of</w:t>
      </w:r>
      <w:r w:rsidR="00EA236C">
        <w:t xml:space="preserve"> these states, thus</w:t>
      </w:r>
      <w:r w:rsidR="002337E2">
        <w:t xml:space="preserve"> 8/50 (16%) states require this standard of care after a suspected </w:t>
      </w:r>
      <w:r w:rsidR="005C2790">
        <w:t>SCA</w:t>
      </w:r>
      <w:r w:rsidR="002337E2">
        <w:t xml:space="preserve"> during a sporting event</w:t>
      </w:r>
      <w:r w:rsidR="00EA236C">
        <w:t xml:space="preserve">.  The education of coaches regarding cardiac arrest is required in only </w:t>
      </w:r>
      <w:r w:rsidR="005F0379">
        <w:t>16/50 (32%) of states</w:t>
      </w:r>
      <w:r w:rsidR="00EA236C">
        <w:t>.</w:t>
      </w:r>
    </w:p>
    <w:p w14:paraId="727C54D1" w14:textId="038B6BBE" w:rsidR="00C862C1" w:rsidRDefault="00F607F8" w:rsidP="00425231">
      <w:r>
        <w:t xml:space="preserve">In contrast, </w:t>
      </w:r>
      <w:r w:rsidR="00FF2414">
        <w:t>49/50</w:t>
      </w:r>
      <w:r w:rsidR="00181C7D">
        <w:t xml:space="preserve"> (98%)</w:t>
      </w:r>
      <w:r w:rsidR="00FF2414">
        <w:t xml:space="preserve"> states require evaluation </w:t>
      </w:r>
      <w:r w:rsidR="005C2790">
        <w:t xml:space="preserve">and permission to return to play </w:t>
      </w:r>
      <w:r w:rsidR="00FF2414">
        <w:t xml:space="preserve">by a licensed medical professional </w:t>
      </w:r>
      <w:r w:rsidR="00D90211">
        <w:t>after a concussion</w:t>
      </w:r>
      <w:r w:rsidR="00FF2414">
        <w:t xml:space="preserve">.  </w:t>
      </w:r>
      <w:r w:rsidR="00062113">
        <w:t xml:space="preserve">Parental education on the risk of concussion is required in </w:t>
      </w:r>
      <w:r w:rsidR="00FF2414">
        <w:t>40/50</w:t>
      </w:r>
      <w:r w:rsidR="00585232">
        <w:t xml:space="preserve"> (80%)</w:t>
      </w:r>
      <w:r w:rsidR="00FF2414">
        <w:t xml:space="preserve"> states </w:t>
      </w:r>
      <w:r w:rsidR="00D90211">
        <w:t>before the</w:t>
      </w:r>
      <w:r w:rsidR="00FF2414">
        <w:t xml:space="preserve"> child can play.  </w:t>
      </w:r>
      <w:r w:rsidR="00062113">
        <w:t>Coaching education</w:t>
      </w:r>
      <w:r>
        <w:t xml:space="preserve"> on</w:t>
      </w:r>
      <w:r w:rsidR="00062113">
        <w:t xml:space="preserve"> the</w:t>
      </w:r>
      <w:r w:rsidRPr="00F607F8">
        <w:t xml:space="preserve"> </w:t>
      </w:r>
      <w:r>
        <w:t xml:space="preserve">recognition of concussion and the consequences of premature return-to-play is required in </w:t>
      </w:r>
      <w:r w:rsidR="00FF2414">
        <w:t>46/50</w:t>
      </w:r>
      <w:r w:rsidR="00585232">
        <w:t xml:space="preserve"> (92%)</w:t>
      </w:r>
      <w:r w:rsidR="00FF2414">
        <w:t xml:space="preserve"> sta</w:t>
      </w:r>
      <w:r w:rsidR="00D90211">
        <w:t>tes</w:t>
      </w:r>
      <w:r w:rsidR="00FF2414">
        <w:t>.</w:t>
      </w:r>
      <w:r w:rsidR="00626374">
        <w:t xml:space="preserve"> </w:t>
      </w:r>
    </w:p>
    <w:p w14:paraId="63A3F3A7" w14:textId="77777777" w:rsidR="00971B91" w:rsidRDefault="00971B91" w:rsidP="00425231">
      <w:pPr>
        <w:rPr>
          <w:b/>
        </w:rPr>
      </w:pPr>
      <w:r>
        <w:rPr>
          <w:b/>
        </w:rPr>
        <w:t>Conclusions</w:t>
      </w:r>
    </w:p>
    <w:p w14:paraId="23C73FDC" w14:textId="7C62FA31" w:rsidR="00971B91" w:rsidRPr="00971B91" w:rsidRDefault="00E34AD3" w:rsidP="00425231">
      <w:r w:rsidRPr="00DE09F3">
        <w:t xml:space="preserve">Few states prioritize formal health evaluation following </w:t>
      </w:r>
      <w:r w:rsidR="005C2790">
        <w:t>SCA</w:t>
      </w:r>
      <w:r w:rsidRPr="00DE09F3">
        <w:t xml:space="preserve"> in athletes</w:t>
      </w:r>
      <w:r w:rsidR="006E15C5" w:rsidRPr="00DE09F3">
        <w:t xml:space="preserve">.  </w:t>
      </w:r>
      <w:r w:rsidR="006E15C5">
        <w:t xml:space="preserve">In </w:t>
      </w:r>
      <w:r>
        <w:t>contrast</w:t>
      </w:r>
      <w:r w:rsidR="00DE09F3">
        <w:t>,</w:t>
      </w:r>
      <w:r>
        <w:t xml:space="preserve"> c</w:t>
      </w:r>
      <w:r w:rsidR="00100534">
        <w:t>oncussion r</w:t>
      </w:r>
      <w:r w:rsidR="00DE09F3">
        <w:t>eturn-to-</w:t>
      </w:r>
      <w:r w:rsidR="00100534">
        <w:t>play laws</w:t>
      </w:r>
      <w:r w:rsidR="00D7123B">
        <w:t xml:space="preserve"> </w:t>
      </w:r>
      <w:r w:rsidR="0090642A">
        <w:t>define</w:t>
      </w:r>
      <w:r w:rsidR="00D7123B">
        <w:t xml:space="preserve"> concussion</w:t>
      </w:r>
      <w:r w:rsidR="0090642A">
        <w:t>, require</w:t>
      </w:r>
      <w:r w:rsidR="002A45D2">
        <w:t xml:space="preserve"> education of coaches, student</w:t>
      </w:r>
      <w:r w:rsidR="00D7123B">
        <w:t xml:space="preserve">s, </w:t>
      </w:r>
      <w:r w:rsidR="0090642A">
        <w:t>and parents, and require</w:t>
      </w:r>
      <w:r w:rsidR="002A45D2">
        <w:t xml:space="preserve"> evaluation by a licensed </w:t>
      </w:r>
      <w:r w:rsidR="00D7123B">
        <w:t>medical</w:t>
      </w:r>
      <w:r w:rsidR="002A45D2">
        <w:t xml:space="preserve"> provider</w:t>
      </w:r>
      <w:r w:rsidR="007E4D96">
        <w:t xml:space="preserve"> in </w:t>
      </w:r>
      <w:r w:rsidR="006E15C5">
        <w:t xml:space="preserve">nearly </w:t>
      </w:r>
      <w:r w:rsidR="007E4D96">
        <w:t>all states</w:t>
      </w:r>
      <w:r w:rsidR="002A45D2">
        <w:t>.</w:t>
      </w:r>
      <w:r w:rsidR="00971B91" w:rsidRPr="00971B91">
        <w:t xml:space="preserve"> </w:t>
      </w:r>
      <w:r w:rsidR="005D4C65">
        <w:t xml:space="preserve"> </w:t>
      </w:r>
      <w:r w:rsidR="002E18D0">
        <w:t>Similar definitive legislation</w:t>
      </w:r>
      <w:r w:rsidR="001A220C">
        <w:t xml:space="preserve"> may yield improved diagnosis and treatment for those athletes at risk for sudden cardiac death.</w:t>
      </w:r>
    </w:p>
    <w:sectPr w:rsidR="00971B91" w:rsidRPr="0097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A4"/>
    <w:rsid w:val="00006540"/>
    <w:rsid w:val="00047FE0"/>
    <w:rsid w:val="00055510"/>
    <w:rsid w:val="00062113"/>
    <w:rsid w:val="00087F63"/>
    <w:rsid w:val="000B7477"/>
    <w:rsid w:val="000D4A0D"/>
    <w:rsid w:val="00100534"/>
    <w:rsid w:val="00170F9B"/>
    <w:rsid w:val="00181C7D"/>
    <w:rsid w:val="001A220C"/>
    <w:rsid w:val="002337E2"/>
    <w:rsid w:val="00284F1F"/>
    <w:rsid w:val="00291ACE"/>
    <w:rsid w:val="002A45D2"/>
    <w:rsid w:val="002A7A4F"/>
    <w:rsid w:val="002E18D0"/>
    <w:rsid w:val="002E2DDF"/>
    <w:rsid w:val="002E697D"/>
    <w:rsid w:val="00346111"/>
    <w:rsid w:val="003C0998"/>
    <w:rsid w:val="003C4AF0"/>
    <w:rsid w:val="003D2F29"/>
    <w:rsid w:val="003D428A"/>
    <w:rsid w:val="003E12BD"/>
    <w:rsid w:val="0041365D"/>
    <w:rsid w:val="00425231"/>
    <w:rsid w:val="004333B0"/>
    <w:rsid w:val="00446263"/>
    <w:rsid w:val="004F295F"/>
    <w:rsid w:val="00520094"/>
    <w:rsid w:val="005605DA"/>
    <w:rsid w:val="00565591"/>
    <w:rsid w:val="005759B1"/>
    <w:rsid w:val="00581BA4"/>
    <w:rsid w:val="00585232"/>
    <w:rsid w:val="005C0AA1"/>
    <w:rsid w:val="005C2790"/>
    <w:rsid w:val="005C2FC4"/>
    <w:rsid w:val="005D4C65"/>
    <w:rsid w:val="005F0379"/>
    <w:rsid w:val="005F380B"/>
    <w:rsid w:val="00616AC5"/>
    <w:rsid w:val="00626374"/>
    <w:rsid w:val="00677A3C"/>
    <w:rsid w:val="006B7A55"/>
    <w:rsid w:val="006C024F"/>
    <w:rsid w:val="006C7638"/>
    <w:rsid w:val="006D674B"/>
    <w:rsid w:val="006E15C5"/>
    <w:rsid w:val="006F4330"/>
    <w:rsid w:val="00705289"/>
    <w:rsid w:val="007E4D96"/>
    <w:rsid w:val="0082590B"/>
    <w:rsid w:val="008601E5"/>
    <w:rsid w:val="0086606B"/>
    <w:rsid w:val="008758E0"/>
    <w:rsid w:val="008B183D"/>
    <w:rsid w:val="008F1DB7"/>
    <w:rsid w:val="00901BCC"/>
    <w:rsid w:val="0090642A"/>
    <w:rsid w:val="00971B91"/>
    <w:rsid w:val="00992B56"/>
    <w:rsid w:val="009C2BCA"/>
    <w:rsid w:val="009D7904"/>
    <w:rsid w:val="009F7FE8"/>
    <w:rsid w:val="00A05F3A"/>
    <w:rsid w:val="00A315C0"/>
    <w:rsid w:val="00A62D72"/>
    <w:rsid w:val="00AC73B7"/>
    <w:rsid w:val="00AC753F"/>
    <w:rsid w:val="00B64D18"/>
    <w:rsid w:val="00B65A81"/>
    <w:rsid w:val="00BA1F6D"/>
    <w:rsid w:val="00BB0B84"/>
    <w:rsid w:val="00BD78F2"/>
    <w:rsid w:val="00BF4F5C"/>
    <w:rsid w:val="00C00D1C"/>
    <w:rsid w:val="00C03FB3"/>
    <w:rsid w:val="00C361D6"/>
    <w:rsid w:val="00C47A3A"/>
    <w:rsid w:val="00C80F48"/>
    <w:rsid w:val="00C862C1"/>
    <w:rsid w:val="00CF17BC"/>
    <w:rsid w:val="00D25A27"/>
    <w:rsid w:val="00D27321"/>
    <w:rsid w:val="00D40DA4"/>
    <w:rsid w:val="00D440D8"/>
    <w:rsid w:val="00D52383"/>
    <w:rsid w:val="00D62EB7"/>
    <w:rsid w:val="00D7123B"/>
    <w:rsid w:val="00D90211"/>
    <w:rsid w:val="00DA680D"/>
    <w:rsid w:val="00DE09F3"/>
    <w:rsid w:val="00DE1819"/>
    <w:rsid w:val="00DE72CE"/>
    <w:rsid w:val="00E07BCC"/>
    <w:rsid w:val="00E16981"/>
    <w:rsid w:val="00E26EA6"/>
    <w:rsid w:val="00E34AD3"/>
    <w:rsid w:val="00E66C75"/>
    <w:rsid w:val="00E8543C"/>
    <w:rsid w:val="00EA1D52"/>
    <w:rsid w:val="00EA236C"/>
    <w:rsid w:val="00EC22C6"/>
    <w:rsid w:val="00F069AE"/>
    <w:rsid w:val="00F100EF"/>
    <w:rsid w:val="00F40C66"/>
    <w:rsid w:val="00F45361"/>
    <w:rsid w:val="00F607F8"/>
    <w:rsid w:val="00F66C06"/>
    <w:rsid w:val="00FC2CED"/>
    <w:rsid w:val="00FE33DC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FFA68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8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8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5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061E2-0E7C-441F-B802-B55506EA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Lyon</dc:creator>
  <cp:lastModifiedBy>Barbara Cowen</cp:lastModifiedBy>
  <cp:revision>2</cp:revision>
  <dcterms:created xsi:type="dcterms:W3CDTF">2020-07-15T00:37:00Z</dcterms:created>
  <dcterms:modified xsi:type="dcterms:W3CDTF">2020-07-15T00:37:00Z</dcterms:modified>
</cp:coreProperties>
</file>