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6C" w:rsidRPr="00A8660D" w:rsidRDefault="000939D1" w:rsidP="00CB550F">
      <w:pPr>
        <w:spacing w:after="0" w:line="360" w:lineRule="auto"/>
        <w:rPr>
          <w:rFonts w:cs="Times New Roman"/>
          <w:b/>
          <w:sz w:val="24"/>
        </w:rPr>
      </w:pPr>
      <w:bookmarkStart w:id="0" w:name="_GoBack"/>
      <w:bookmarkEnd w:id="0"/>
      <w:r>
        <w:rPr>
          <w:rFonts w:cs="Times New Roman"/>
          <w:b/>
          <w:sz w:val="24"/>
        </w:rPr>
        <w:t xml:space="preserve">Title: </w:t>
      </w:r>
      <w:r w:rsidR="00A0156C" w:rsidRPr="00A8660D">
        <w:rPr>
          <w:rFonts w:cs="Times New Roman"/>
          <w:b/>
          <w:sz w:val="24"/>
        </w:rPr>
        <w:t>Interobserver Variability in Echocardiographic Assessment of Right Ventric</w:t>
      </w:r>
      <w:r w:rsidR="00A0156C">
        <w:rPr>
          <w:rFonts w:cs="Times New Roman"/>
          <w:b/>
          <w:sz w:val="24"/>
        </w:rPr>
        <w:t>ular Function</w:t>
      </w:r>
      <w:r w:rsidR="00A0156C" w:rsidRPr="00A8660D">
        <w:rPr>
          <w:rFonts w:cs="Times New Roman"/>
          <w:b/>
          <w:sz w:val="24"/>
        </w:rPr>
        <w:t xml:space="preserve"> in Hypoplastic Left Heart Syndrome</w:t>
      </w:r>
      <w:r w:rsidR="00A0156C">
        <w:rPr>
          <w:rFonts w:cs="Times New Roman"/>
          <w:b/>
          <w:sz w:val="24"/>
        </w:rPr>
        <w:t xml:space="preserve"> and Variants</w:t>
      </w:r>
    </w:p>
    <w:p w:rsidR="00A0156C" w:rsidRPr="00D46E28" w:rsidRDefault="00A0156C" w:rsidP="00CB550F">
      <w:pPr>
        <w:spacing w:after="0" w:line="360" w:lineRule="auto"/>
        <w:rPr>
          <w:rFonts w:cs="Times New Roman"/>
        </w:rPr>
      </w:pPr>
      <w:r w:rsidRPr="00D46E28">
        <w:rPr>
          <w:rFonts w:cs="Times New Roman"/>
        </w:rPr>
        <w:t>Rabia Javed, MBBS</w:t>
      </w:r>
      <w:r w:rsidR="000939D1" w:rsidRPr="00D46E28">
        <w:rPr>
          <w:rFonts w:cs="Times New Roman"/>
          <w:vertAlign w:val="superscript"/>
        </w:rPr>
        <w:t>1,2</w:t>
      </w:r>
      <w:r w:rsidR="0011493C" w:rsidRPr="00D46E28">
        <w:rPr>
          <w:rFonts w:cs="Times New Roman"/>
        </w:rPr>
        <w:t>(</w:t>
      </w:r>
      <w:r w:rsidR="00D46E28" w:rsidRPr="00D46E28">
        <w:rPr>
          <w:rFonts w:cs="Times New Roman"/>
        </w:rPr>
        <w:t>Research</w:t>
      </w:r>
      <w:r w:rsidR="0011493C" w:rsidRPr="00D46E28">
        <w:rPr>
          <w:rFonts w:cs="Times New Roman"/>
        </w:rPr>
        <w:t xml:space="preserve"> trainee</w:t>
      </w:r>
      <w:r w:rsidR="00CB550F" w:rsidRPr="00D46E28">
        <w:rPr>
          <w:rFonts w:cs="Times New Roman"/>
        </w:rPr>
        <w:t>);</w:t>
      </w:r>
      <w:r w:rsidRPr="00D46E28">
        <w:rPr>
          <w:rFonts w:cs="Times New Roman"/>
        </w:rPr>
        <w:t xml:space="preserve"> </w:t>
      </w:r>
      <w:r w:rsidR="00D46E28" w:rsidRPr="00D46E28">
        <w:rPr>
          <w:rFonts w:cs="Times New Roman"/>
        </w:rPr>
        <w:t xml:space="preserve">Megan M. </w:t>
      </w:r>
      <w:r w:rsidRPr="00D46E28">
        <w:rPr>
          <w:rFonts w:cs="Times New Roman"/>
        </w:rPr>
        <w:t>O’Byrne, MA</w:t>
      </w:r>
      <w:r w:rsidR="000939D1" w:rsidRPr="00D46E28">
        <w:rPr>
          <w:rFonts w:cs="Times New Roman"/>
          <w:vertAlign w:val="superscript"/>
        </w:rPr>
        <w:t>1,4</w:t>
      </w:r>
      <w:r w:rsidRPr="00D46E28">
        <w:rPr>
          <w:rFonts w:cs="Times New Roman"/>
        </w:rPr>
        <w:t>; Chelsea L. Reece, RDCS</w:t>
      </w:r>
      <w:r w:rsidR="000939D1" w:rsidRPr="00D46E28">
        <w:rPr>
          <w:rFonts w:cs="Times New Roman"/>
          <w:vertAlign w:val="superscript"/>
        </w:rPr>
        <w:t>1,2</w:t>
      </w:r>
      <w:r w:rsidRPr="00D46E28">
        <w:rPr>
          <w:rFonts w:cs="Times New Roman"/>
        </w:rPr>
        <w:t>; Angela R. Miller, RDCS</w:t>
      </w:r>
      <w:r w:rsidR="000939D1" w:rsidRPr="00D46E28">
        <w:rPr>
          <w:rFonts w:cs="Times New Roman"/>
          <w:vertAlign w:val="superscript"/>
        </w:rPr>
        <w:t>1,2</w:t>
      </w:r>
      <w:r w:rsidRPr="00D46E28">
        <w:rPr>
          <w:rFonts w:cs="Times New Roman"/>
        </w:rPr>
        <w:t>; Rebecca K. Lindquist, RDCS</w:t>
      </w:r>
      <w:r w:rsidR="000939D1" w:rsidRPr="00D46E28">
        <w:rPr>
          <w:rFonts w:cs="Times New Roman"/>
          <w:vertAlign w:val="superscript"/>
        </w:rPr>
        <w:t>1,2</w:t>
      </w:r>
      <w:r w:rsidRPr="00D46E28">
        <w:rPr>
          <w:rFonts w:cs="Times New Roman"/>
        </w:rPr>
        <w:t>; Patrick W. O’Leary, MD</w:t>
      </w:r>
      <w:r w:rsidR="000939D1" w:rsidRPr="00D46E28">
        <w:rPr>
          <w:rFonts w:cs="Times New Roman"/>
          <w:vertAlign w:val="superscript"/>
        </w:rPr>
        <w:t>1,2</w:t>
      </w:r>
      <w:r w:rsidRPr="00D46E28">
        <w:rPr>
          <w:rFonts w:cs="Times New Roman"/>
        </w:rPr>
        <w:t>; Muhammad Yasir Qureshi, MBBS</w:t>
      </w:r>
      <w:r w:rsidR="000939D1" w:rsidRPr="00D46E28">
        <w:rPr>
          <w:rFonts w:cs="Times New Roman"/>
          <w:vertAlign w:val="superscript"/>
        </w:rPr>
        <w:t>1,2</w:t>
      </w:r>
    </w:p>
    <w:p w:rsidR="000939D1" w:rsidRPr="004D4A3D" w:rsidRDefault="000939D1" w:rsidP="00CB550F">
      <w:pPr>
        <w:pStyle w:val="ListParagraph"/>
        <w:numPr>
          <w:ilvl w:val="0"/>
          <w:numId w:val="1"/>
        </w:numPr>
        <w:spacing w:after="0" w:line="360" w:lineRule="auto"/>
        <w:rPr>
          <w:rFonts w:cs="Times New Roman"/>
        </w:rPr>
      </w:pPr>
      <w:r w:rsidRPr="004D4A3D">
        <w:rPr>
          <w:rFonts w:cs="Times New Roman"/>
        </w:rPr>
        <w:t xml:space="preserve">Wanek Family Program for Hypoplastic Left Heart Syndrome, </w:t>
      </w:r>
      <w:r>
        <w:rPr>
          <w:rFonts w:cs="Times New Roman"/>
        </w:rPr>
        <w:t xml:space="preserve">Mayo Clinic, </w:t>
      </w:r>
      <w:r w:rsidRPr="004D4A3D">
        <w:rPr>
          <w:rFonts w:cs="Times New Roman"/>
        </w:rPr>
        <w:t>Rochester, MN</w:t>
      </w:r>
    </w:p>
    <w:p w:rsidR="000939D1" w:rsidRPr="000939D1" w:rsidRDefault="000939D1" w:rsidP="00CB550F">
      <w:pPr>
        <w:pStyle w:val="ListParagraph"/>
        <w:numPr>
          <w:ilvl w:val="0"/>
          <w:numId w:val="1"/>
        </w:numPr>
        <w:spacing w:after="0" w:line="360" w:lineRule="auto"/>
        <w:rPr>
          <w:rFonts w:cs="Times New Roman"/>
        </w:rPr>
      </w:pPr>
      <w:r>
        <w:rPr>
          <w:rFonts w:cs="Times New Roman"/>
        </w:rPr>
        <w:t>Dep</w:t>
      </w:r>
      <w:r w:rsidR="00CB550F">
        <w:rPr>
          <w:rFonts w:cs="Times New Roman"/>
        </w:rPr>
        <w:t>t.</w:t>
      </w:r>
      <w:r>
        <w:rPr>
          <w:rFonts w:cs="Times New Roman"/>
        </w:rPr>
        <w:t xml:space="preserve"> of Pediatric and Adolescent Medicine, </w:t>
      </w:r>
      <w:r w:rsidRPr="004D4A3D">
        <w:rPr>
          <w:rFonts w:cs="Times New Roman"/>
        </w:rPr>
        <w:t>Division of Pediatric Cardiology, Mayo Clinic, Rochester, MN</w:t>
      </w:r>
    </w:p>
    <w:p w:rsidR="000939D1" w:rsidRPr="000939D1" w:rsidRDefault="000939D1" w:rsidP="00CB550F">
      <w:pPr>
        <w:pStyle w:val="ListParagraph"/>
        <w:numPr>
          <w:ilvl w:val="0"/>
          <w:numId w:val="1"/>
        </w:numPr>
        <w:spacing w:line="360" w:lineRule="auto"/>
        <w:rPr>
          <w:rFonts w:cs="Times New Roman"/>
        </w:rPr>
      </w:pPr>
      <w:r>
        <w:rPr>
          <w:rFonts w:cs="Times New Roman"/>
        </w:rPr>
        <w:t xml:space="preserve">Biomedical Statistics and informatics, </w:t>
      </w:r>
      <w:r w:rsidRPr="004D4A3D">
        <w:rPr>
          <w:rFonts w:cs="Times New Roman"/>
        </w:rPr>
        <w:t xml:space="preserve">Mayo Clinic, Rochester, MN  </w:t>
      </w:r>
    </w:p>
    <w:p w:rsidR="00A0156C" w:rsidRPr="00446E3A" w:rsidRDefault="00A0156C" w:rsidP="00CB550F">
      <w:pPr>
        <w:spacing w:line="360" w:lineRule="auto"/>
      </w:pPr>
      <w:r w:rsidRPr="00446E3A">
        <w:rPr>
          <w:b/>
          <w:bCs/>
        </w:rPr>
        <w:t>Background:</w:t>
      </w:r>
      <w:r w:rsidRPr="00446E3A">
        <w:t xml:space="preserve">  Objective assessment of single ventricular function by echocardiographic measurements is essential in patients with hypoplastic left heart syndrome (HLHS). These measurements have inherent interobserver variability. The objective of this study was to assess the degree of reproducibility in different echocardiographic measurements in HLHS.</w:t>
      </w:r>
    </w:p>
    <w:p w:rsidR="00A0156C" w:rsidRPr="00446E3A" w:rsidRDefault="00A0156C" w:rsidP="00CB550F">
      <w:pPr>
        <w:spacing w:line="360" w:lineRule="auto"/>
      </w:pPr>
      <w:r w:rsidRPr="00446E3A">
        <w:rPr>
          <w:b/>
          <w:bCs/>
        </w:rPr>
        <w:t>Methods:</w:t>
      </w:r>
      <w:r w:rsidRPr="00446E3A">
        <w:t xml:space="preserve">  Prospectively enrolled patients with HLHS underwent detailed</w:t>
      </w:r>
      <w:r>
        <w:t xml:space="preserve"> transthoracic </w:t>
      </w:r>
      <w:r w:rsidRPr="00446E3A">
        <w:t>echocardiography</w:t>
      </w:r>
      <w:r>
        <w:t xml:space="preserve"> (TTE)</w:t>
      </w:r>
      <w:r w:rsidRPr="00446E3A">
        <w:t>. Two experienced sonographers reviewed the studies and made offline measurements on each study independently.  Each measurement was taken in triplets and the average was</w:t>
      </w:r>
      <w:r>
        <w:t xml:space="preserve"> used for statistical analysis. Interobserver variability and limits of agreement between the sonographers were determined. </w:t>
      </w:r>
      <w:r w:rsidRPr="00446E3A">
        <w:t xml:space="preserve">Bland-Altman plots were used to analyze the data. </w:t>
      </w:r>
    </w:p>
    <w:p w:rsidR="00A0156C" w:rsidRDefault="00A0156C" w:rsidP="00D46E28">
      <w:pPr>
        <w:spacing w:after="0" w:line="360" w:lineRule="auto"/>
      </w:pPr>
      <w:r w:rsidRPr="00446E3A">
        <w:rPr>
          <w:b/>
          <w:bCs/>
        </w:rPr>
        <w:t>Results:</w:t>
      </w:r>
      <w:r w:rsidRPr="00446E3A">
        <w:t xml:space="preserve">  </w:t>
      </w:r>
      <w:r w:rsidR="00C30DBE">
        <w:t>A t</w:t>
      </w:r>
      <w:r>
        <w:t>otal</w:t>
      </w:r>
      <w:r w:rsidR="00C30DBE">
        <w:t xml:space="preserve"> of</w:t>
      </w:r>
      <w:r>
        <w:t xml:space="preserve"> 74 echocardiographic </w:t>
      </w:r>
      <w:r w:rsidRPr="00446E3A">
        <w:t xml:space="preserve">studies </w:t>
      </w:r>
      <w:r>
        <w:t xml:space="preserve">were reviewed. </w:t>
      </w:r>
      <w:r w:rsidRPr="00446E3A">
        <w:t>The mean differences and limits of agreement between two observers</w:t>
      </w:r>
      <w:r>
        <w:t xml:space="preserve"> were calculated</w:t>
      </w:r>
      <w:r w:rsidRPr="00446E3A">
        <w:t xml:space="preserve"> </w:t>
      </w:r>
      <w:r>
        <w:rPr>
          <w:sz w:val="24"/>
          <w:szCs w:val="24"/>
        </w:rPr>
        <w:t>f</w:t>
      </w:r>
      <w:r w:rsidRPr="00446E3A">
        <w:t xml:space="preserve">or tricuspid annular plane systolic excursion (TAPSE), right ventricular systolic and diastolic areas, right ventricular </w:t>
      </w:r>
      <w:r>
        <w:t xml:space="preserve">apical and short axis </w:t>
      </w:r>
      <w:r w:rsidRPr="00446E3A">
        <w:t>fractional area change (FAC), isovolumic acceleration (IVA), right ventricular myocardial performance index (MPI), tr</w:t>
      </w:r>
      <w:r>
        <w:t xml:space="preserve">icuspid valve annular diameter, and </w:t>
      </w:r>
      <w:r w:rsidRPr="00446E3A">
        <w:t>tricuspid valve lateral</w:t>
      </w:r>
      <w:r>
        <w:t xml:space="preserve"> annular systolic velocity (TVS’).</w:t>
      </w:r>
    </w:p>
    <w:p w:rsidR="007F26DB" w:rsidRPr="007F26DB" w:rsidRDefault="00A0156C" w:rsidP="00CB550F">
      <w:pPr>
        <w:spacing w:line="360" w:lineRule="auto"/>
      </w:pPr>
      <w:r>
        <w:t xml:space="preserve">In our study, TAPSE and TV annulus diameter were the parameters </w:t>
      </w:r>
      <w:r w:rsidR="007F26DB">
        <w:t>that exhibit</w:t>
      </w:r>
      <w:r w:rsidR="003615C6">
        <w:t>ed</w:t>
      </w:r>
      <w:r>
        <w:t xml:space="preserve"> the greatest I</w:t>
      </w:r>
      <w:r w:rsidR="00C30DBE">
        <w:t>ntra class correlation (I</w:t>
      </w:r>
      <w:r>
        <w:t>CC</w:t>
      </w:r>
      <w:r w:rsidR="00C30DBE">
        <w:t>)</w:t>
      </w:r>
      <w:r>
        <w:t xml:space="preserve"> amongst all other RV parameters (&gt; 0.81). Comparing the measurements of two sonographers, limits of agreement for TAPSE and TV annulus diameter were </w:t>
      </w:r>
      <w:r w:rsidRPr="006F282F">
        <w:rPr>
          <w:rFonts w:ascii="Times" w:eastAsia="Times New Roman" w:hAnsi="Times" w:cs="Times"/>
          <w:color w:val="000000"/>
        </w:rPr>
        <w:t>(-1.97</w:t>
      </w:r>
      <w:r w:rsidR="007F26DB">
        <w:rPr>
          <w:rFonts w:ascii="Times" w:eastAsia="Times New Roman" w:hAnsi="Times" w:cs="Times"/>
          <w:color w:val="000000"/>
          <w:sz w:val="20"/>
          <w:szCs w:val="20"/>
        </w:rPr>
        <w:t>,</w:t>
      </w:r>
      <w:r w:rsidR="007F26DB" w:rsidRPr="007F26DB">
        <w:rPr>
          <w:rFonts w:ascii="Times" w:eastAsia="Times New Roman" w:hAnsi="Times" w:cs="Times"/>
          <w:color w:val="000000"/>
        </w:rPr>
        <w:t xml:space="preserve"> 1.47</w:t>
      </w:r>
      <w:r w:rsidRPr="007F26DB">
        <w:rPr>
          <w:rFonts w:ascii="Times" w:eastAsia="Times New Roman" w:hAnsi="Times" w:cs="Times"/>
          <w:color w:val="000000"/>
        </w:rPr>
        <w:t>)</w:t>
      </w:r>
      <w:r>
        <w:rPr>
          <w:rFonts w:ascii="Times" w:eastAsia="Times New Roman" w:hAnsi="Times" w:cs="Times"/>
          <w:color w:val="000000"/>
          <w:sz w:val="20"/>
          <w:szCs w:val="20"/>
        </w:rPr>
        <w:t xml:space="preserve"> </w:t>
      </w:r>
      <w:r w:rsidRPr="006F282F">
        <w:rPr>
          <w:rFonts w:ascii="Times" w:eastAsia="Times New Roman" w:hAnsi="Times" w:cs="Times"/>
          <w:color w:val="000000"/>
        </w:rPr>
        <w:t>and (-5.34, 3.59), respectively</w:t>
      </w:r>
      <w:r>
        <w:rPr>
          <w:rFonts w:ascii="Times" w:eastAsia="Times New Roman" w:hAnsi="Times" w:cs="Times"/>
          <w:color w:val="000000"/>
          <w:sz w:val="20"/>
          <w:szCs w:val="20"/>
        </w:rPr>
        <w:t xml:space="preserve">. </w:t>
      </w:r>
      <w:r>
        <w:t>TVS` and MPI also demonstrated substantial agreement.</w:t>
      </w:r>
      <w:r w:rsidR="007F26DB">
        <w:t xml:space="preserve"> We found significant interobserver variability between measures of fractional RV area change as shown by the wide limits of agreement and low ICC.</w:t>
      </w:r>
      <w:r w:rsidR="003615C6">
        <w:t xml:space="preserve"> Table 1 </w:t>
      </w:r>
      <w:r w:rsidR="007F26DB">
        <w:t>shows the respective ICC with the corresponding 95% confidence interval of all the RV parameters measured in the study. It also shows the mean differences and limits of agreement between the two</w:t>
      </w:r>
      <w:r w:rsidR="003615C6">
        <w:t xml:space="preserve"> echo</w:t>
      </w:r>
      <w:r w:rsidR="007F26DB">
        <w:t>cardiographic readings.</w:t>
      </w:r>
    </w:p>
    <w:p w:rsidR="00C30DBE" w:rsidRDefault="00A0156C" w:rsidP="00CB550F">
      <w:pPr>
        <w:spacing w:line="360" w:lineRule="auto"/>
      </w:pPr>
      <w:r w:rsidRPr="00446E3A">
        <w:rPr>
          <w:b/>
          <w:bCs/>
        </w:rPr>
        <w:t>Conclusions:</w:t>
      </w:r>
      <w:r w:rsidRPr="00446E3A">
        <w:t xml:space="preserve">  Although the mean differences between observers are minimal in most right ventricular parameters of size and function, the wide limits of agreement show significant interobserver variability</w:t>
      </w:r>
      <w:r>
        <w:t xml:space="preserve"> in individual patients. </w:t>
      </w:r>
      <w:r w:rsidRPr="00446E3A">
        <w:t>The</w:t>
      </w:r>
      <w:r w:rsidR="00C30DBE">
        <w:t>se</w:t>
      </w:r>
      <w:r w:rsidRPr="00446E3A">
        <w:t xml:space="preserve"> </w:t>
      </w:r>
      <w:r w:rsidR="00C30DBE" w:rsidRPr="00446E3A">
        <w:t>findings are consistent with previously published</w:t>
      </w:r>
      <w:r w:rsidR="00C30DBE">
        <w:t xml:space="preserve"> studies in</w:t>
      </w:r>
      <w:r w:rsidR="00C30DBE" w:rsidRPr="00446E3A">
        <w:t xml:space="preserve"> other</w:t>
      </w:r>
      <w:r w:rsidR="00C30DBE">
        <w:t xml:space="preserve"> congenital heart</w:t>
      </w:r>
      <w:r w:rsidR="00C30DBE" w:rsidRPr="00446E3A">
        <w:t xml:space="preserve"> diseases and highlight</w:t>
      </w:r>
      <w:r w:rsidRPr="00446E3A">
        <w:t xml:space="preserve"> the importance of using multiple measurements to objectively assess right ventricular function especially in HLHS</w:t>
      </w:r>
      <w:r w:rsidR="003615C6">
        <w:t xml:space="preserve"> patients.</w:t>
      </w:r>
    </w:p>
    <w:p w:rsidR="00C30DBE" w:rsidRDefault="00C30DBE" w:rsidP="00C30DBE">
      <w:pPr>
        <w:spacing w:line="240" w:lineRule="auto"/>
      </w:pPr>
      <w:r>
        <w:lastRenderedPageBreak/>
        <w:t>Table 1:  The intra class correlation and mean difference between the echocardiographic readings of two observers.</w:t>
      </w:r>
    </w:p>
    <w:tbl>
      <w:tblPr>
        <w:tblW w:w="9855" w:type="dxa"/>
        <w:tblCellSpacing w:w="0" w:type="dxa"/>
        <w:tblInd w:w="-240" w:type="dxa"/>
        <w:tblBorders>
          <w:top w:val="single" w:sz="4" w:space="0" w:color="auto"/>
          <w:bottom w:val="single" w:sz="4"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Description w:val="Procedure Report: Detailed and/or summarized report"/>
      </w:tblPr>
      <w:tblGrid>
        <w:gridCol w:w="3140"/>
        <w:gridCol w:w="170"/>
        <w:gridCol w:w="422"/>
        <w:gridCol w:w="705"/>
        <w:gridCol w:w="759"/>
        <w:gridCol w:w="122"/>
        <w:gridCol w:w="583"/>
        <w:gridCol w:w="122"/>
        <w:gridCol w:w="662"/>
        <w:gridCol w:w="1098"/>
        <w:gridCol w:w="531"/>
        <w:gridCol w:w="1541"/>
      </w:tblGrid>
      <w:tr w:rsidR="007F26DB" w:rsidRPr="00A8660D" w:rsidTr="00C30DBE">
        <w:trPr>
          <w:trHeight w:val="516"/>
          <w:tblHeader/>
          <w:tblCellSpacing w:w="0" w:type="dxa"/>
        </w:trPr>
        <w:tc>
          <w:tcPr>
            <w:tcW w:w="3140" w:type="dxa"/>
            <w:shd w:val="clear" w:color="auto" w:fill="FFFFFF"/>
            <w:hideMark/>
          </w:tcPr>
          <w:p w:rsidR="007F26DB" w:rsidRPr="00A8660D" w:rsidRDefault="007F26DB" w:rsidP="006A1AF8">
            <w:pPr>
              <w:spacing w:after="0" w:line="240" w:lineRule="auto"/>
              <w:rPr>
                <w:rFonts w:ascii="Times" w:eastAsia="Times New Roman" w:hAnsi="Times" w:cs="Times"/>
                <w:b/>
                <w:bCs/>
                <w:color w:val="000000"/>
              </w:rPr>
            </w:pPr>
            <w:r w:rsidRPr="00A8660D">
              <w:rPr>
                <w:rFonts w:ascii="Times" w:eastAsia="Times New Roman" w:hAnsi="Times" w:cs="Times"/>
                <w:b/>
                <w:bCs/>
                <w:color w:val="000000"/>
              </w:rPr>
              <w:t>Measurement</w:t>
            </w:r>
          </w:p>
        </w:tc>
        <w:tc>
          <w:tcPr>
            <w:tcW w:w="170" w:type="dxa"/>
            <w:shd w:val="clear" w:color="auto" w:fill="FFFFFF"/>
          </w:tcPr>
          <w:p w:rsidR="007F26DB" w:rsidRPr="00A8660D" w:rsidRDefault="007F26DB" w:rsidP="006A1AF8">
            <w:pPr>
              <w:spacing w:after="0" w:line="240" w:lineRule="auto"/>
              <w:jc w:val="center"/>
              <w:rPr>
                <w:rFonts w:ascii="Times" w:eastAsia="Times New Roman" w:hAnsi="Times" w:cs="Times"/>
                <w:b/>
                <w:bCs/>
                <w:color w:val="000000"/>
              </w:rPr>
            </w:pPr>
          </w:p>
        </w:tc>
        <w:tc>
          <w:tcPr>
            <w:tcW w:w="422" w:type="dxa"/>
            <w:shd w:val="clear" w:color="auto" w:fill="FFFFFF"/>
            <w:hideMark/>
          </w:tcPr>
          <w:p w:rsidR="007F26DB" w:rsidRPr="00A8660D" w:rsidRDefault="007F26DB" w:rsidP="006A1AF8">
            <w:pPr>
              <w:spacing w:after="0" w:line="240" w:lineRule="auto"/>
              <w:jc w:val="center"/>
              <w:rPr>
                <w:rFonts w:ascii="Times" w:eastAsia="Times New Roman" w:hAnsi="Times" w:cs="Times"/>
                <w:b/>
                <w:bCs/>
                <w:color w:val="000000"/>
              </w:rPr>
            </w:pPr>
            <w:r w:rsidRPr="00A8660D">
              <w:rPr>
                <w:rFonts w:ascii="Times" w:eastAsia="Times New Roman" w:hAnsi="Times" w:cs="Times"/>
                <w:b/>
                <w:bCs/>
                <w:color w:val="000000"/>
              </w:rPr>
              <w:t>n</w:t>
            </w:r>
          </w:p>
        </w:tc>
        <w:tc>
          <w:tcPr>
            <w:tcW w:w="705" w:type="dxa"/>
            <w:shd w:val="clear" w:color="auto" w:fill="FFFFFF"/>
          </w:tcPr>
          <w:p w:rsidR="007F26DB" w:rsidRPr="00A8660D" w:rsidRDefault="007F26DB" w:rsidP="006A1AF8">
            <w:pPr>
              <w:spacing w:after="0" w:line="240" w:lineRule="auto"/>
              <w:jc w:val="center"/>
              <w:rPr>
                <w:rFonts w:ascii="Times" w:eastAsia="Times New Roman" w:hAnsi="Times" w:cs="Times"/>
                <w:b/>
                <w:bCs/>
                <w:color w:val="000000"/>
              </w:rPr>
            </w:pPr>
            <w:r>
              <w:rPr>
                <w:rFonts w:ascii="Times" w:eastAsia="Times New Roman" w:hAnsi="Times" w:cs="Times"/>
                <w:b/>
                <w:bCs/>
                <w:color w:val="000000"/>
              </w:rPr>
              <w:t>Mean</w:t>
            </w:r>
          </w:p>
        </w:tc>
        <w:tc>
          <w:tcPr>
            <w:tcW w:w="881" w:type="dxa"/>
            <w:gridSpan w:val="2"/>
            <w:shd w:val="clear" w:color="auto" w:fill="FFFFFF"/>
            <w:hideMark/>
          </w:tcPr>
          <w:p w:rsidR="007F26DB" w:rsidRPr="00A8660D" w:rsidRDefault="007F26DB" w:rsidP="006A1AF8">
            <w:pPr>
              <w:spacing w:after="0" w:line="240" w:lineRule="auto"/>
              <w:jc w:val="center"/>
              <w:rPr>
                <w:rFonts w:ascii="Times" w:eastAsia="Times New Roman" w:hAnsi="Times" w:cs="Times"/>
                <w:b/>
                <w:bCs/>
                <w:color w:val="000000"/>
              </w:rPr>
            </w:pPr>
            <w:r w:rsidRPr="00A8660D">
              <w:rPr>
                <w:rFonts w:ascii="Times" w:eastAsia="Times New Roman" w:hAnsi="Times" w:cs="Times"/>
                <w:b/>
                <w:bCs/>
                <w:color w:val="000000"/>
              </w:rPr>
              <w:t>ICC</w:t>
            </w:r>
            <w:r>
              <w:rPr>
                <w:rFonts w:ascii="Times" w:eastAsia="Times New Roman" w:hAnsi="Times" w:cs="Times"/>
                <w:b/>
                <w:bCs/>
                <w:color w:val="000000"/>
              </w:rPr>
              <w:t xml:space="preserve"> </w:t>
            </w:r>
            <w:r w:rsidRPr="00A8660D">
              <w:rPr>
                <w:rFonts w:ascii="Times" w:eastAsia="Times New Roman" w:hAnsi="Times" w:cs="Times"/>
                <w:b/>
                <w:bCs/>
                <w:color w:val="000000"/>
              </w:rPr>
              <w:t>(1,1)</w:t>
            </w:r>
          </w:p>
        </w:tc>
        <w:tc>
          <w:tcPr>
            <w:tcW w:w="705" w:type="dxa"/>
            <w:gridSpan w:val="2"/>
            <w:shd w:val="clear" w:color="auto" w:fill="FFFFFF"/>
            <w:hideMark/>
          </w:tcPr>
          <w:p w:rsidR="007F26DB" w:rsidRPr="00A8660D" w:rsidRDefault="007F26DB" w:rsidP="006A1AF8">
            <w:pPr>
              <w:spacing w:after="0" w:line="240" w:lineRule="auto"/>
              <w:jc w:val="center"/>
              <w:rPr>
                <w:rFonts w:ascii="Times" w:eastAsia="Times New Roman" w:hAnsi="Times" w:cs="Times"/>
                <w:b/>
                <w:bCs/>
                <w:color w:val="000000"/>
              </w:rPr>
            </w:pPr>
            <w:r w:rsidRPr="00A8660D">
              <w:rPr>
                <w:rFonts w:ascii="Times" w:eastAsia="Times New Roman" w:hAnsi="Times" w:cs="Times"/>
                <w:b/>
                <w:bCs/>
                <w:color w:val="000000"/>
              </w:rPr>
              <w:t>95% LCL</w:t>
            </w:r>
          </w:p>
        </w:tc>
        <w:tc>
          <w:tcPr>
            <w:tcW w:w="662" w:type="dxa"/>
            <w:shd w:val="clear" w:color="auto" w:fill="FFFFFF"/>
            <w:hideMark/>
          </w:tcPr>
          <w:p w:rsidR="007F26DB" w:rsidRPr="00A8660D" w:rsidRDefault="007F26DB" w:rsidP="006A1AF8">
            <w:pPr>
              <w:spacing w:after="0" w:line="240" w:lineRule="auto"/>
              <w:jc w:val="center"/>
              <w:rPr>
                <w:rFonts w:ascii="Times" w:eastAsia="Times New Roman" w:hAnsi="Times" w:cs="Times"/>
                <w:b/>
                <w:bCs/>
                <w:color w:val="000000"/>
              </w:rPr>
            </w:pPr>
            <w:r w:rsidRPr="00A8660D">
              <w:rPr>
                <w:rFonts w:ascii="Times" w:eastAsia="Times New Roman" w:hAnsi="Times" w:cs="Times"/>
                <w:b/>
                <w:bCs/>
                <w:color w:val="000000"/>
              </w:rPr>
              <w:t>95% UCL</w:t>
            </w:r>
          </w:p>
        </w:tc>
        <w:tc>
          <w:tcPr>
            <w:tcW w:w="1098" w:type="dxa"/>
            <w:shd w:val="clear" w:color="auto" w:fill="FFFFFF"/>
          </w:tcPr>
          <w:p w:rsidR="007F26DB" w:rsidRPr="00A8660D" w:rsidRDefault="007F26DB" w:rsidP="006A1AF8">
            <w:pPr>
              <w:spacing w:after="0" w:line="240" w:lineRule="auto"/>
              <w:jc w:val="center"/>
              <w:rPr>
                <w:rFonts w:ascii="Times" w:eastAsia="Times New Roman" w:hAnsi="Times" w:cs="Times"/>
                <w:b/>
                <w:bCs/>
                <w:color w:val="000000"/>
              </w:rPr>
            </w:pPr>
            <w:r>
              <w:rPr>
                <w:rFonts w:ascii="Times" w:eastAsia="Times New Roman" w:hAnsi="Times" w:cs="Times"/>
                <w:b/>
                <w:bCs/>
                <w:color w:val="000000"/>
              </w:rPr>
              <w:t>Mean difference</w:t>
            </w:r>
          </w:p>
        </w:tc>
        <w:tc>
          <w:tcPr>
            <w:tcW w:w="531" w:type="dxa"/>
            <w:shd w:val="clear" w:color="auto" w:fill="FFFFFF"/>
          </w:tcPr>
          <w:p w:rsidR="007F26DB" w:rsidRPr="00A8660D" w:rsidRDefault="007F26DB" w:rsidP="006A1AF8">
            <w:pPr>
              <w:spacing w:after="0" w:line="240" w:lineRule="auto"/>
              <w:jc w:val="center"/>
              <w:rPr>
                <w:rFonts w:ascii="Times" w:eastAsia="Times New Roman" w:hAnsi="Times" w:cs="Times"/>
                <w:b/>
                <w:bCs/>
                <w:color w:val="000000"/>
              </w:rPr>
            </w:pPr>
            <w:r w:rsidRPr="00A8660D">
              <w:rPr>
                <w:rFonts w:ascii="Times" w:eastAsia="Times New Roman" w:hAnsi="Times" w:cs="Times"/>
                <w:b/>
                <w:bCs/>
                <w:color w:val="000000"/>
              </w:rPr>
              <w:t>SD</w:t>
            </w:r>
          </w:p>
        </w:tc>
        <w:tc>
          <w:tcPr>
            <w:tcW w:w="1541" w:type="dxa"/>
            <w:shd w:val="clear" w:color="auto" w:fill="FFFFFF"/>
          </w:tcPr>
          <w:p w:rsidR="007F26DB" w:rsidRDefault="007F26DB" w:rsidP="006A1AF8">
            <w:pPr>
              <w:spacing w:after="0" w:line="240" w:lineRule="auto"/>
              <w:rPr>
                <w:rFonts w:ascii="Times" w:eastAsia="Times New Roman" w:hAnsi="Times" w:cs="Times"/>
                <w:b/>
                <w:bCs/>
                <w:color w:val="000000"/>
              </w:rPr>
            </w:pPr>
            <w:r>
              <w:rPr>
                <w:rFonts w:ascii="Times" w:eastAsia="Times New Roman" w:hAnsi="Times" w:cs="Times"/>
                <w:b/>
                <w:bCs/>
                <w:color w:val="000000"/>
              </w:rPr>
              <w:t xml:space="preserve"> </w:t>
            </w:r>
            <w:r w:rsidRPr="00A8660D">
              <w:rPr>
                <w:rFonts w:ascii="Times" w:eastAsia="Times New Roman" w:hAnsi="Times" w:cs="Times"/>
                <w:b/>
                <w:bCs/>
                <w:color w:val="000000"/>
              </w:rPr>
              <w:t>Limits of</w:t>
            </w:r>
            <w:r>
              <w:rPr>
                <w:rFonts w:ascii="Times" w:eastAsia="Times New Roman" w:hAnsi="Times" w:cs="Times"/>
                <w:b/>
                <w:bCs/>
                <w:color w:val="000000"/>
              </w:rPr>
              <w:t xml:space="preserve"> </w:t>
            </w:r>
            <w:r w:rsidRPr="00A8660D">
              <w:rPr>
                <w:rFonts w:ascii="Times" w:eastAsia="Times New Roman" w:hAnsi="Times" w:cs="Times"/>
                <w:b/>
                <w:bCs/>
                <w:color w:val="000000"/>
              </w:rPr>
              <w:t xml:space="preserve"> Agreement*</w:t>
            </w:r>
          </w:p>
        </w:tc>
      </w:tr>
      <w:tr w:rsidR="007F26DB" w:rsidRPr="00A8660D" w:rsidTr="00C30DBE">
        <w:trPr>
          <w:trHeight w:val="227"/>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TV annulus diameter </w:t>
            </w:r>
            <w:r w:rsidRPr="006F282F">
              <w:rPr>
                <w:rFonts w:ascii="Times" w:eastAsia="Times New Roman" w:hAnsi="Times" w:cs="Times"/>
                <w:color w:val="000000"/>
                <w:sz w:val="18"/>
                <w:szCs w:val="18"/>
              </w:rPr>
              <w:t>(mm)</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74</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29.66</w:t>
            </w:r>
          </w:p>
        </w:tc>
        <w:tc>
          <w:tcPr>
            <w:tcW w:w="759"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0.921</w:t>
            </w:r>
          </w:p>
        </w:tc>
        <w:tc>
          <w:tcPr>
            <w:tcW w:w="705" w:type="dxa"/>
            <w:gridSpan w:val="2"/>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0.887</w:t>
            </w:r>
          </w:p>
        </w:tc>
        <w:tc>
          <w:tcPr>
            <w:tcW w:w="784" w:type="dxa"/>
            <w:gridSpan w:val="2"/>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0.947</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-0.87</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2.28</w:t>
            </w:r>
          </w:p>
        </w:tc>
        <w:tc>
          <w:tcPr>
            <w:tcW w:w="1541" w:type="dxa"/>
            <w:shd w:val="clear" w:color="auto" w:fill="FFFFFF"/>
          </w:tcPr>
          <w:p w:rsidR="007F26DB" w:rsidRPr="006F282F"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(-5.34, 3.59)</w:t>
            </w:r>
          </w:p>
        </w:tc>
      </w:tr>
      <w:tr w:rsidR="007F26DB" w:rsidRPr="00A8660D" w:rsidTr="00C30DBE">
        <w:trPr>
          <w:trHeight w:val="242"/>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sidRPr="006F282F">
              <w:rPr>
                <w:rFonts w:ascii="Times" w:eastAsia="Times New Roman" w:hAnsi="Times" w:cs="Times"/>
                <w:color w:val="000000"/>
                <w:sz w:val="18"/>
                <w:szCs w:val="18"/>
              </w:rPr>
              <w:t>Short Axis RV diastolic area (cm</w:t>
            </w:r>
            <w:r w:rsidRPr="006F282F">
              <w:rPr>
                <w:rFonts w:ascii="Times" w:eastAsia="Times New Roman" w:hAnsi="Times" w:cs="Times"/>
                <w:color w:val="000000"/>
                <w:sz w:val="18"/>
                <w:szCs w:val="18"/>
                <w:vertAlign w:val="superscript"/>
              </w:rPr>
              <w:t>2</w:t>
            </w:r>
            <w:r w:rsidRPr="006F282F">
              <w:rPr>
                <w:rFonts w:ascii="Times" w:eastAsia="Times New Roman" w:hAnsi="Times" w:cs="Times"/>
                <w:color w:val="000000"/>
                <w:sz w:val="18"/>
                <w:szCs w:val="18"/>
              </w:rPr>
              <w:t>)</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70</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19.06</w:t>
            </w:r>
          </w:p>
        </w:tc>
        <w:tc>
          <w:tcPr>
            <w:tcW w:w="759"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0.955</w:t>
            </w:r>
          </w:p>
        </w:tc>
        <w:tc>
          <w:tcPr>
            <w:tcW w:w="705"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0.934</w:t>
            </w:r>
          </w:p>
        </w:tc>
        <w:tc>
          <w:tcPr>
            <w:tcW w:w="784"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0.970</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-1.59</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2.20</w:t>
            </w:r>
          </w:p>
        </w:tc>
        <w:tc>
          <w:tcPr>
            <w:tcW w:w="1541" w:type="dxa"/>
            <w:shd w:val="clear" w:color="auto" w:fill="FFFFFF"/>
          </w:tcPr>
          <w:p w:rsidR="007F26DB" w:rsidRPr="006F282F"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(-5.91, 2.72)</w:t>
            </w:r>
          </w:p>
        </w:tc>
      </w:tr>
      <w:tr w:rsidR="007F26DB" w:rsidRPr="00570D34" w:rsidTr="00C30DBE">
        <w:trPr>
          <w:trHeight w:val="227"/>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sidRPr="006F282F">
              <w:rPr>
                <w:rFonts w:ascii="Times" w:eastAsia="Times New Roman" w:hAnsi="Times" w:cs="Times"/>
                <w:color w:val="000000"/>
                <w:sz w:val="18"/>
                <w:szCs w:val="18"/>
              </w:rPr>
              <w:t>Short Axis RV systolic area (cm</w:t>
            </w:r>
            <w:r w:rsidRPr="006F282F">
              <w:rPr>
                <w:rFonts w:ascii="Times" w:eastAsia="Times New Roman" w:hAnsi="Times" w:cs="Times"/>
                <w:color w:val="000000"/>
                <w:sz w:val="18"/>
                <w:szCs w:val="18"/>
                <w:vertAlign w:val="superscript"/>
              </w:rPr>
              <w:t>2</w:t>
            </w:r>
            <w:r w:rsidRPr="006F282F">
              <w:rPr>
                <w:rFonts w:ascii="Times" w:eastAsia="Times New Roman" w:hAnsi="Times" w:cs="Times"/>
                <w:color w:val="000000"/>
                <w:sz w:val="18"/>
                <w:szCs w:val="18"/>
              </w:rPr>
              <w:t>)</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70</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11.18</w:t>
            </w:r>
          </w:p>
        </w:tc>
        <w:tc>
          <w:tcPr>
            <w:tcW w:w="759"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0.948</w:t>
            </w:r>
          </w:p>
        </w:tc>
        <w:tc>
          <w:tcPr>
            <w:tcW w:w="705"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0.924</w:t>
            </w:r>
          </w:p>
        </w:tc>
        <w:tc>
          <w:tcPr>
            <w:tcW w:w="784"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0.966</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-0.83</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1.97</w:t>
            </w:r>
          </w:p>
        </w:tc>
        <w:tc>
          <w:tcPr>
            <w:tcW w:w="1541" w:type="dxa"/>
            <w:shd w:val="clear" w:color="auto" w:fill="FFFFFF"/>
          </w:tcPr>
          <w:p w:rsidR="007F26DB" w:rsidRPr="006F282F"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(-4.7, 3.03)</w:t>
            </w:r>
          </w:p>
        </w:tc>
      </w:tr>
      <w:tr w:rsidR="007F26DB" w:rsidRPr="00A8660D" w:rsidTr="00C30DBE">
        <w:trPr>
          <w:trHeight w:val="227"/>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Short Axis RV FAC </w:t>
            </w:r>
            <w:r w:rsidRPr="006F282F">
              <w:rPr>
                <w:rFonts w:ascii="Times" w:eastAsia="Times New Roman" w:hAnsi="Times" w:cs="Times"/>
                <w:color w:val="000000"/>
                <w:sz w:val="18"/>
                <w:szCs w:val="18"/>
              </w:rPr>
              <w:t>(%)</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70</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43.35</w:t>
            </w:r>
          </w:p>
        </w:tc>
        <w:tc>
          <w:tcPr>
            <w:tcW w:w="759"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0.712</w:t>
            </w:r>
          </w:p>
        </w:tc>
        <w:tc>
          <w:tcPr>
            <w:tcW w:w="705"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0.608</w:t>
            </w:r>
          </w:p>
        </w:tc>
        <w:tc>
          <w:tcPr>
            <w:tcW w:w="784"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0.798</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-1.11</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6.58</w:t>
            </w:r>
          </w:p>
        </w:tc>
        <w:tc>
          <w:tcPr>
            <w:tcW w:w="1541" w:type="dxa"/>
            <w:shd w:val="clear" w:color="auto" w:fill="FFFFFF"/>
          </w:tcPr>
          <w:p w:rsidR="007F26DB" w:rsidRPr="006F282F"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(-14.01, 11.78)</w:t>
            </w:r>
          </w:p>
        </w:tc>
      </w:tr>
      <w:tr w:rsidR="007F26DB" w:rsidRPr="00A8660D" w:rsidTr="00C30DBE">
        <w:trPr>
          <w:trHeight w:val="242"/>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sidRPr="006F282F">
              <w:rPr>
                <w:rFonts w:ascii="Times" w:eastAsia="Times New Roman" w:hAnsi="Times" w:cs="Times"/>
                <w:color w:val="000000"/>
                <w:sz w:val="18"/>
                <w:szCs w:val="18"/>
              </w:rPr>
              <w:t>Apical RV diastolic area (cm</w:t>
            </w:r>
            <w:r w:rsidRPr="006F282F">
              <w:rPr>
                <w:rFonts w:ascii="Times" w:eastAsia="Times New Roman" w:hAnsi="Times" w:cs="Times"/>
                <w:color w:val="000000"/>
                <w:sz w:val="18"/>
                <w:szCs w:val="18"/>
                <w:vertAlign w:val="superscript"/>
              </w:rPr>
              <w:t>2</w:t>
            </w:r>
            <w:r w:rsidRPr="006F282F">
              <w:rPr>
                <w:rFonts w:ascii="Times" w:eastAsia="Times New Roman" w:hAnsi="Times" w:cs="Times"/>
                <w:color w:val="000000"/>
                <w:sz w:val="18"/>
                <w:szCs w:val="18"/>
              </w:rPr>
              <w:t>)</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73</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22.76</w:t>
            </w:r>
          </w:p>
        </w:tc>
        <w:tc>
          <w:tcPr>
            <w:tcW w:w="759"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0.954</w:t>
            </w:r>
          </w:p>
        </w:tc>
        <w:tc>
          <w:tcPr>
            <w:tcW w:w="705"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0.933</w:t>
            </w:r>
          </w:p>
        </w:tc>
        <w:tc>
          <w:tcPr>
            <w:tcW w:w="784"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0.969</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-1.17</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2.53</w:t>
            </w:r>
          </w:p>
        </w:tc>
        <w:tc>
          <w:tcPr>
            <w:tcW w:w="1541" w:type="dxa"/>
            <w:shd w:val="clear" w:color="auto" w:fill="FFFFFF"/>
          </w:tcPr>
          <w:p w:rsidR="007F26DB" w:rsidRPr="006F282F"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(-6.13, 3.78)</w:t>
            </w:r>
          </w:p>
        </w:tc>
      </w:tr>
      <w:tr w:rsidR="007F26DB" w:rsidRPr="00A8660D" w:rsidTr="00C30DBE">
        <w:trPr>
          <w:trHeight w:val="227"/>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sidRPr="006F282F">
              <w:rPr>
                <w:rFonts w:ascii="Times" w:eastAsia="Times New Roman" w:hAnsi="Times" w:cs="Times"/>
                <w:color w:val="000000"/>
                <w:sz w:val="18"/>
                <w:szCs w:val="18"/>
              </w:rPr>
              <w:t>Apical RV systolic area (cm</w:t>
            </w:r>
            <w:r w:rsidRPr="006F282F">
              <w:rPr>
                <w:rFonts w:ascii="Times" w:eastAsia="Times New Roman" w:hAnsi="Times" w:cs="Times"/>
                <w:color w:val="000000"/>
                <w:sz w:val="18"/>
                <w:szCs w:val="18"/>
                <w:vertAlign w:val="superscript"/>
              </w:rPr>
              <w:t>2</w:t>
            </w:r>
            <w:r w:rsidRPr="006F282F">
              <w:rPr>
                <w:rFonts w:ascii="Times" w:eastAsia="Times New Roman" w:hAnsi="Times" w:cs="Times"/>
                <w:color w:val="000000"/>
                <w:sz w:val="18"/>
                <w:szCs w:val="18"/>
              </w:rPr>
              <w:t>)</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72</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14.23</w:t>
            </w:r>
          </w:p>
        </w:tc>
        <w:tc>
          <w:tcPr>
            <w:tcW w:w="759"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0.948</w:t>
            </w:r>
          </w:p>
        </w:tc>
        <w:tc>
          <w:tcPr>
            <w:tcW w:w="705"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0.925</w:t>
            </w:r>
          </w:p>
        </w:tc>
        <w:tc>
          <w:tcPr>
            <w:tcW w:w="784"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0.966</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-0.65</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2.00</w:t>
            </w:r>
          </w:p>
        </w:tc>
        <w:tc>
          <w:tcPr>
            <w:tcW w:w="1541" w:type="dxa"/>
            <w:shd w:val="clear" w:color="auto" w:fill="FFFFFF"/>
          </w:tcPr>
          <w:p w:rsidR="007F26DB" w:rsidRPr="00FB4ADB"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(-4.56, 3.27)</w:t>
            </w:r>
          </w:p>
        </w:tc>
      </w:tr>
      <w:tr w:rsidR="007F26DB" w:rsidRPr="00A8660D" w:rsidTr="00C30DBE">
        <w:trPr>
          <w:trHeight w:val="227"/>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sidRPr="006F282F">
              <w:rPr>
                <w:rFonts w:ascii="Times" w:eastAsia="Times New Roman" w:hAnsi="Times" w:cs="Times"/>
                <w:color w:val="000000"/>
                <w:sz w:val="18"/>
                <w:szCs w:val="18"/>
              </w:rPr>
              <w:t xml:space="preserve">Apical RV </w:t>
            </w:r>
            <w:r>
              <w:rPr>
                <w:rFonts w:ascii="Times" w:eastAsia="Times New Roman" w:hAnsi="Times" w:cs="Times"/>
                <w:color w:val="000000"/>
                <w:sz w:val="18"/>
                <w:szCs w:val="18"/>
              </w:rPr>
              <w:t xml:space="preserve">FAC </w:t>
            </w:r>
            <w:r w:rsidRPr="006F282F">
              <w:rPr>
                <w:rFonts w:ascii="Times" w:eastAsia="Times New Roman" w:hAnsi="Times" w:cs="Times"/>
                <w:color w:val="000000"/>
                <w:sz w:val="18"/>
                <w:szCs w:val="18"/>
              </w:rPr>
              <w:t>(%)</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72</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39.26</w:t>
            </w:r>
          </w:p>
        </w:tc>
        <w:tc>
          <w:tcPr>
            <w:tcW w:w="759"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0.558</w:t>
            </w:r>
          </w:p>
        </w:tc>
        <w:tc>
          <w:tcPr>
            <w:tcW w:w="705"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0.428</w:t>
            </w:r>
          </w:p>
        </w:tc>
        <w:tc>
          <w:tcPr>
            <w:tcW w:w="784"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0.677</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-0.68</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6.20</w:t>
            </w:r>
          </w:p>
        </w:tc>
        <w:tc>
          <w:tcPr>
            <w:tcW w:w="1541" w:type="dxa"/>
            <w:shd w:val="clear" w:color="auto" w:fill="FFFFFF"/>
          </w:tcPr>
          <w:p w:rsidR="007F26DB" w:rsidRPr="00FB4ADB"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(-12.83, 11.47)</w:t>
            </w:r>
          </w:p>
        </w:tc>
      </w:tr>
      <w:tr w:rsidR="007F26DB" w:rsidRPr="00A8660D" w:rsidTr="00C30DBE">
        <w:trPr>
          <w:trHeight w:val="242"/>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TAPSE </w:t>
            </w:r>
            <w:r w:rsidRPr="006F282F">
              <w:rPr>
                <w:rFonts w:ascii="Times" w:eastAsia="Times New Roman" w:hAnsi="Times" w:cs="Times"/>
                <w:color w:val="000000"/>
                <w:sz w:val="18"/>
                <w:szCs w:val="18"/>
              </w:rPr>
              <w:t xml:space="preserve"> (mm)</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71</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8.87</w:t>
            </w:r>
          </w:p>
        </w:tc>
        <w:tc>
          <w:tcPr>
            <w:tcW w:w="759"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0.851</w:t>
            </w:r>
          </w:p>
        </w:tc>
        <w:tc>
          <w:tcPr>
            <w:tcW w:w="705"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0.790</w:t>
            </w:r>
          </w:p>
        </w:tc>
        <w:tc>
          <w:tcPr>
            <w:tcW w:w="784"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0.899</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-0.25</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0.88</w:t>
            </w:r>
          </w:p>
        </w:tc>
        <w:tc>
          <w:tcPr>
            <w:tcW w:w="1541" w:type="dxa"/>
            <w:shd w:val="clear" w:color="auto" w:fill="FFFFFF"/>
          </w:tcPr>
          <w:p w:rsidR="007F26DB" w:rsidRPr="00FB4ADB"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(-1.97, 1.47)</w:t>
            </w:r>
          </w:p>
        </w:tc>
      </w:tr>
      <w:tr w:rsidR="007F26DB" w:rsidRPr="00A8660D" w:rsidTr="00C30DBE">
        <w:trPr>
          <w:trHeight w:val="227"/>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sidRPr="006F282F">
              <w:rPr>
                <w:rFonts w:ascii="Times" w:eastAsia="Times New Roman" w:hAnsi="Times" w:cs="Times"/>
                <w:color w:val="000000"/>
                <w:sz w:val="18"/>
                <w:szCs w:val="18"/>
              </w:rPr>
              <w:t xml:space="preserve">Isovolumic Acceleration time </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70</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2.07</w:t>
            </w:r>
          </w:p>
        </w:tc>
        <w:tc>
          <w:tcPr>
            <w:tcW w:w="759"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0.695</w:t>
            </w:r>
          </w:p>
        </w:tc>
        <w:tc>
          <w:tcPr>
            <w:tcW w:w="705"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0.588</w:t>
            </w:r>
          </w:p>
        </w:tc>
        <w:tc>
          <w:tcPr>
            <w:tcW w:w="784"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0.786</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-0.26</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0.54</w:t>
            </w:r>
          </w:p>
        </w:tc>
        <w:tc>
          <w:tcPr>
            <w:tcW w:w="1541" w:type="dxa"/>
            <w:shd w:val="clear" w:color="auto" w:fill="FFFFFF"/>
          </w:tcPr>
          <w:p w:rsidR="007F26DB" w:rsidRPr="00FB4ADB"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(-1.32, 0.79)</w:t>
            </w:r>
          </w:p>
        </w:tc>
      </w:tr>
      <w:tr w:rsidR="007F26DB" w:rsidRPr="00A8660D" w:rsidTr="00C30DBE">
        <w:trPr>
          <w:trHeight w:val="227"/>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sidRPr="006F282F">
              <w:rPr>
                <w:rFonts w:ascii="Times" w:eastAsia="Times New Roman" w:hAnsi="Times" w:cs="Times"/>
                <w:color w:val="000000"/>
                <w:sz w:val="18"/>
                <w:szCs w:val="18"/>
              </w:rPr>
              <w:t>RV MPI</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70</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0.47</w:t>
            </w:r>
          </w:p>
        </w:tc>
        <w:tc>
          <w:tcPr>
            <w:tcW w:w="759"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0.735</w:t>
            </w:r>
          </w:p>
        </w:tc>
        <w:tc>
          <w:tcPr>
            <w:tcW w:w="705"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0.638</w:t>
            </w:r>
          </w:p>
        </w:tc>
        <w:tc>
          <w:tcPr>
            <w:tcW w:w="784"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0.816</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0.03</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0.08</w:t>
            </w:r>
          </w:p>
        </w:tc>
        <w:tc>
          <w:tcPr>
            <w:tcW w:w="1541" w:type="dxa"/>
            <w:shd w:val="clear" w:color="auto" w:fill="FFFFFF"/>
          </w:tcPr>
          <w:p w:rsidR="007F26DB" w:rsidRPr="00FB4ADB"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(-0.14, 0.19)</w:t>
            </w:r>
          </w:p>
        </w:tc>
      </w:tr>
      <w:tr w:rsidR="007F26DB" w:rsidRPr="00A8660D" w:rsidTr="00C30DBE">
        <w:trPr>
          <w:trHeight w:val="242"/>
          <w:tblCellSpacing w:w="0" w:type="dxa"/>
        </w:trPr>
        <w:tc>
          <w:tcPr>
            <w:tcW w:w="3140" w:type="dxa"/>
            <w:shd w:val="clear" w:color="auto" w:fill="FFFFFF"/>
            <w:hideMark/>
          </w:tcPr>
          <w:p w:rsidR="007F26DB" w:rsidRPr="006F282F" w:rsidRDefault="007F26DB" w:rsidP="006A1AF8">
            <w:pPr>
              <w:spacing w:after="0" w:line="240" w:lineRule="auto"/>
              <w:rPr>
                <w:rFonts w:ascii="Times" w:eastAsia="Times New Roman" w:hAnsi="Times" w:cs="Times"/>
                <w:color w:val="000000"/>
                <w:sz w:val="18"/>
                <w:szCs w:val="18"/>
              </w:rPr>
            </w:pPr>
            <w:r w:rsidRPr="006F282F">
              <w:rPr>
                <w:rFonts w:ascii="Times" w:eastAsia="Times New Roman" w:hAnsi="Times" w:cs="Times"/>
                <w:color w:val="000000"/>
                <w:sz w:val="18"/>
                <w:szCs w:val="18"/>
              </w:rPr>
              <w:t>Lateral TV annulus systolic velocity (cm/sec)</w:t>
            </w:r>
          </w:p>
        </w:tc>
        <w:tc>
          <w:tcPr>
            <w:tcW w:w="170"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p>
        </w:tc>
        <w:tc>
          <w:tcPr>
            <w:tcW w:w="422"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71</w:t>
            </w:r>
          </w:p>
        </w:tc>
        <w:tc>
          <w:tcPr>
            <w:tcW w:w="705"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0.06</w:t>
            </w:r>
          </w:p>
        </w:tc>
        <w:tc>
          <w:tcPr>
            <w:tcW w:w="759" w:type="dxa"/>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0.756</w:t>
            </w:r>
          </w:p>
        </w:tc>
        <w:tc>
          <w:tcPr>
            <w:tcW w:w="705"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0.664</w:t>
            </w:r>
          </w:p>
        </w:tc>
        <w:tc>
          <w:tcPr>
            <w:tcW w:w="784" w:type="dxa"/>
            <w:gridSpan w:val="2"/>
            <w:shd w:val="clear" w:color="auto" w:fill="FFFFFF"/>
            <w:hideMark/>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0.830</w:t>
            </w:r>
          </w:p>
        </w:tc>
        <w:tc>
          <w:tcPr>
            <w:tcW w:w="1098" w:type="dxa"/>
            <w:shd w:val="clear" w:color="auto" w:fill="FFFFFF"/>
          </w:tcPr>
          <w:p w:rsidR="007F26DB" w:rsidRPr="006F282F" w:rsidRDefault="007F26DB" w:rsidP="006A1AF8">
            <w:pPr>
              <w:spacing w:after="0" w:line="240" w:lineRule="auto"/>
              <w:jc w:val="center"/>
              <w:rPr>
                <w:rFonts w:ascii="Times" w:eastAsia="Times New Roman" w:hAnsi="Times" w:cs="Times"/>
                <w:color w:val="000000"/>
                <w:sz w:val="18"/>
                <w:szCs w:val="18"/>
              </w:rPr>
            </w:pPr>
            <w:r w:rsidRPr="006F282F">
              <w:rPr>
                <w:rFonts w:ascii="Times" w:eastAsia="Times New Roman" w:hAnsi="Times" w:cs="Times"/>
                <w:color w:val="000000"/>
                <w:sz w:val="18"/>
                <w:szCs w:val="18"/>
              </w:rPr>
              <w:t>0.01</w:t>
            </w:r>
          </w:p>
        </w:tc>
        <w:tc>
          <w:tcPr>
            <w:tcW w:w="531" w:type="dxa"/>
            <w:shd w:val="clear" w:color="auto" w:fill="FFFFFF"/>
          </w:tcPr>
          <w:p w:rsidR="007F26DB" w:rsidRPr="00FB4ADB" w:rsidRDefault="007F26DB" w:rsidP="006A1AF8">
            <w:pPr>
              <w:spacing w:after="0" w:line="240" w:lineRule="auto"/>
              <w:jc w:val="center"/>
              <w:rPr>
                <w:rFonts w:ascii="Times" w:eastAsia="Times New Roman" w:hAnsi="Times" w:cs="Times"/>
                <w:color w:val="000000"/>
                <w:sz w:val="20"/>
                <w:szCs w:val="20"/>
              </w:rPr>
            </w:pPr>
            <w:r w:rsidRPr="00FB4ADB">
              <w:rPr>
                <w:rFonts w:ascii="Times" w:eastAsia="Times New Roman" w:hAnsi="Times" w:cs="Times"/>
                <w:color w:val="000000"/>
                <w:sz w:val="20"/>
                <w:szCs w:val="20"/>
              </w:rPr>
              <w:t>0.01</w:t>
            </w:r>
          </w:p>
        </w:tc>
        <w:tc>
          <w:tcPr>
            <w:tcW w:w="1541" w:type="dxa"/>
            <w:shd w:val="clear" w:color="auto" w:fill="FFFFFF"/>
          </w:tcPr>
          <w:p w:rsidR="007F26DB" w:rsidRPr="006F282F" w:rsidRDefault="007F26DB" w:rsidP="006A1AF8">
            <w:pPr>
              <w:spacing w:after="0" w:line="240" w:lineRule="auto"/>
              <w:rPr>
                <w:rFonts w:ascii="Times" w:eastAsia="Times New Roman" w:hAnsi="Times" w:cs="Times"/>
                <w:color w:val="000000"/>
                <w:sz w:val="20"/>
                <w:szCs w:val="20"/>
              </w:rPr>
            </w:pPr>
            <w:r w:rsidRPr="00FB4ADB">
              <w:rPr>
                <w:rFonts w:ascii="Times" w:eastAsia="Times New Roman" w:hAnsi="Times" w:cs="Times"/>
                <w:color w:val="000000"/>
                <w:sz w:val="20"/>
                <w:szCs w:val="20"/>
              </w:rPr>
              <w:t>(-0.02, 0.02)</w:t>
            </w:r>
          </w:p>
        </w:tc>
      </w:tr>
      <w:tr w:rsidR="00C30DBE" w:rsidRPr="00A8660D" w:rsidTr="00472D33">
        <w:trPr>
          <w:trHeight w:val="242"/>
          <w:tblCellSpacing w:w="0" w:type="dxa"/>
        </w:trPr>
        <w:tc>
          <w:tcPr>
            <w:tcW w:w="9855" w:type="dxa"/>
            <w:gridSpan w:val="12"/>
            <w:tcBorders>
              <w:top w:val="single" w:sz="4" w:space="0" w:color="auto"/>
              <w:bottom w:val="nil"/>
            </w:tcBorders>
            <w:shd w:val="clear" w:color="auto" w:fill="FFFFFF"/>
          </w:tcPr>
          <w:p w:rsidR="00C30DBE" w:rsidRDefault="00C30DBE" w:rsidP="00C30DBE">
            <w:pPr>
              <w:spacing w:after="0" w:line="240" w:lineRule="auto"/>
            </w:pPr>
            <w:r>
              <w:t>(Abbreviations:</w:t>
            </w:r>
            <w:r w:rsidRPr="001D4799">
              <w:t xml:space="preserve"> F</w:t>
            </w:r>
            <w:r>
              <w:t>AC; fractional area change, MPI; myocardial performance index, RV;</w:t>
            </w:r>
            <w:r w:rsidRPr="001D4799">
              <w:t xml:space="preserve"> righ</w:t>
            </w:r>
            <w:r>
              <w:t>t ventricle, TAPSE;</w:t>
            </w:r>
            <w:r w:rsidRPr="001D4799">
              <w:t xml:space="preserve"> tricuspid annular plane systolic excu</w:t>
            </w:r>
            <w:r>
              <w:t>rsion, TV; tricuspid valve)</w:t>
            </w:r>
          </w:p>
          <w:p w:rsidR="00C30DBE" w:rsidRPr="00FB4ADB" w:rsidRDefault="00C30DBE" w:rsidP="00C30DBE">
            <w:pPr>
              <w:spacing w:after="0" w:line="240" w:lineRule="auto"/>
              <w:rPr>
                <w:rFonts w:ascii="Times" w:eastAsia="Times New Roman" w:hAnsi="Times" w:cs="Times"/>
                <w:color w:val="000000"/>
                <w:sz w:val="20"/>
                <w:szCs w:val="20"/>
              </w:rPr>
            </w:pPr>
            <w:r>
              <w:t>*</w:t>
            </w:r>
            <w:r w:rsidRPr="00A3127D">
              <w:t>The range within which 95% of the differences would be expected to</w:t>
            </w:r>
            <w:r>
              <w:t xml:space="preserve"> occur, calculated as the mean </w:t>
            </w:r>
            <w:r w:rsidRPr="00A3127D">
              <w:t>difference</w:t>
            </w:r>
            <w:r>
              <w:t>.</w:t>
            </w:r>
          </w:p>
        </w:tc>
      </w:tr>
    </w:tbl>
    <w:p w:rsidR="00C30DBE" w:rsidRDefault="00C30DBE" w:rsidP="00CB550F">
      <w:pPr>
        <w:spacing w:line="480" w:lineRule="auto"/>
      </w:pPr>
    </w:p>
    <w:sectPr w:rsidR="00C30DBE" w:rsidSect="00CB550F">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D64BB"/>
    <w:multiLevelType w:val="hybridMultilevel"/>
    <w:tmpl w:val="72361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6C"/>
    <w:rsid w:val="000939D1"/>
    <w:rsid w:val="001049A0"/>
    <w:rsid w:val="0011493C"/>
    <w:rsid w:val="003615C6"/>
    <w:rsid w:val="00410363"/>
    <w:rsid w:val="006362BD"/>
    <w:rsid w:val="007F26DB"/>
    <w:rsid w:val="00A0156C"/>
    <w:rsid w:val="00B14929"/>
    <w:rsid w:val="00C30DBE"/>
    <w:rsid w:val="00CB550F"/>
    <w:rsid w:val="00D4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6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D1"/>
    <w:pPr>
      <w:spacing w:after="240" w:line="480" w:lineRule="auto"/>
      <w:ind w:left="720" w:firstLine="36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6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D1"/>
    <w:pPr>
      <w:spacing w:after="240" w:line="480" w:lineRule="auto"/>
      <w:ind w:left="720" w:firstLine="36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  Javed</dc:creator>
  <cp:lastModifiedBy>Kimberly K Feils</cp:lastModifiedBy>
  <cp:revision>2</cp:revision>
  <dcterms:created xsi:type="dcterms:W3CDTF">2018-09-20T18:56:00Z</dcterms:created>
  <dcterms:modified xsi:type="dcterms:W3CDTF">2018-09-20T18:56:00Z</dcterms:modified>
</cp:coreProperties>
</file>